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71F9" w14:textId="77777777" w:rsidR="00B45946" w:rsidRDefault="00B45946" w:rsidP="00B45946">
      <w:pPr>
        <w:tabs>
          <w:tab w:val="decimal" w:pos="2268"/>
          <w:tab w:val="left" w:pos="7480"/>
        </w:tabs>
        <w:jc w:val="center"/>
        <w:rPr>
          <w:b/>
          <w:caps/>
        </w:rPr>
      </w:pPr>
      <w:bookmarkStart w:id="0" w:name="_GoBack"/>
      <w:bookmarkEnd w:id="0"/>
      <w:r w:rsidRPr="00295728">
        <w:rPr>
          <w:b/>
          <w:caps/>
        </w:rPr>
        <w:t>EXTRACT of</w:t>
      </w:r>
      <w:r>
        <w:rPr>
          <w:b/>
          <w:caps/>
        </w:rPr>
        <w:t xml:space="preserve"> TRANSPORT ENGINEERING study field at VILNIUS GEDIMINAS TECHNICAL UNIVERSITY </w:t>
      </w:r>
    </w:p>
    <w:p w14:paraId="341571FA" w14:textId="77777777" w:rsidR="00B45946" w:rsidRPr="006501B9" w:rsidRDefault="00B45946" w:rsidP="00B45946">
      <w:pPr>
        <w:tabs>
          <w:tab w:val="decimal" w:pos="2268"/>
          <w:tab w:val="left" w:pos="7480"/>
        </w:tabs>
        <w:jc w:val="center"/>
        <w:rPr>
          <w:b/>
          <w:caps/>
        </w:rPr>
      </w:pPr>
      <w:r>
        <w:rPr>
          <w:b/>
          <w:caps/>
        </w:rPr>
        <w:t>THE 9TH OF FEBRUARY 2021 evaluation report NO. sv4-18</w:t>
      </w:r>
    </w:p>
    <w:p w14:paraId="341571FB" w14:textId="77777777" w:rsidR="00B45946" w:rsidRPr="00295728" w:rsidRDefault="00B45946" w:rsidP="00B45946">
      <w:pPr>
        <w:jc w:val="center"/>
        <w:rPr>
          <w:sz w:val="16"/>
          <w:lang w:val="lt-LT"/>
        </w:rPr>
      </w:pPr>
    </w:p>
    <w:p w14:paraId="341571FC" w14:textId="77777777" w:rsidR="00B45946" w:rsidRPr="00295728" w:rsidRDefault="00B45946" w:rsidP="00B45946">
      <w:pPr>
        <w:rPr>
          <w:sz w:val="16"/>
          <w:lang w:val="lt-LT"/>
        </w:rPr>
      </w:pPr>
    </w:p>
    <w:p w14:paraId="341571FD" w14:textId="77777777" w:rsidR="00B45946" w:rsidRPr="004715B5" w:rsidRDefault="00B45946" w:rsidP="00B45946">
      <w:pPr>
        <w:jc w:val="center"/>
        <w:rPr>
          <w:rFonts w:ascii="Cambria" w:eastAsia="Calibri" w:hAnsi="Cambria"/>
          <w:i/>
          <w:sz w:val="36"/>
          <w:szCs w:val="36"/>
          <w:lang w:eastAsia="lt-LT"/>
        </w:rPr>
      </w:pPr>
      <w:r>
        <w:rPr>
          <w:i/>
          <w:noProof/>
          <w:sz w:val="36"/>
          <w:szCs w:val="36"/>
          <w:lang w:val="lt-LT" w:eastAsia="lt-LT"/>
        </w:rPr>
        <w:drawing>
          <wp:inline distT="0" distB="0" distL="0" distR="0" wp14:anchorId="341573A8" wp14:editId="341573A9">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341571FE" w14:textId="77777777" w:rsidR="00B45946" w:rsidRPr="004715B5" w:rsidRDefault="00B45946" w:rsidP="00B45946">
      <w:pPr>
        <w:jc w:val="center"/>
        <w:rPr>
          <w:rFonts w:ascii="Cambria" w:eastAsia="Calibri" w:hAnsi="Cambria"/>
          <w:color w:val="136C73"/>
          <w:sz w:val="28"/>
          <w:szCs w:val="28"/>
          <w:lang w:eastAsia="lt-LT"/>
        </w:rPr>
      </w:pPr>
      <w:r>
        <w:rPr>
          <w:rFonts w:ascii="Cambria" w:eastAsia="Calibri" w:hAnsi="Cambria"/>
          <w:color w:val="136C73"/>
          <w:sz w:val="28"/>
          <w:szCs w:val="28"/>
          <w:lang w:eastAsia="lt-LT"/>
        </w:rPr>
        <w:t>CENTRE FOR QUALITY ASSESSMENT IN HIGHER EDUCATION</w:t>
      </w:r>
    </w:p>
    <w:p w14:paraId="341571FF" w14:textId="77777777" w:rsidR="00B45946" w:rsidRPr="004715B5" w:rsidRDefault="00B45946" w:rsidP="00B45946">
      <w:pPr>
        <w:rPr>
          <w:rFonts w:ascii="Cambria" w:eastAsia="Calibri" w:hAnsi="Cambria"/>
          <w:color w:val="136C73"/>
          <w:lang w:eastAsia="lt-LT"/>
        </w:rPr>
      </w:pPr>
    </w:p>
    <w:p w14:paraId="34157200" w14:textId="77777777" w:rsidR="00B45946" w:rsidRPr="00655C0A" w:rsidRDefault="00B45946" w:rsidP="00B45946">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w:t>
      </w:r>
    </w:p>
    <w:p w14:paraId="34157201" w14:textId="77777777" w:rsidR="00B45946" w:rsidRPr="00655C0A" w:rsidRDefault="00B45946" w:rsidP="00B45946">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EVALUATION REPORT</w:t>
      </w:r>
    </w:p>
    <w:p w14:paraId="34157202" w14:textId="77777777" w:rsidR="00B45946" w:rsidRDefault="00B45946" w:rsidP="00B45946">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 xml:space="preserve">STUDY FIELD </w:t>
      </w:r>
    </w:p>
    <w:p w14:paraId="34157203" w14:textId="77777777" w:rsidR="00B45946" w:rsidRPr="00655C0A" w:rsidRDefault="00B45946" w:rsidP="00B45946">
      <w:pPr>
        <w:jc w:val="center"/>
        <w:rPr>
          <w:rFonts w:ascii="Cambria" w:eastAsia="Calibri" w:hAnsi="Cambria"/>
          <w:color w:val="136C73"/>
          <w:sz w:val="28"/>
          <w:szCs w:val="28"/>
          <w:lang w:eastAsia="lt-LT"/>
        </w:rPr>
      </w:pPr>
      <w:r>
        <w:rPr>
          <w:rFonts w:ascii="Cambria" w:eastAsia="Calibri" w:hAnsi="Cambria"/>
          <w:b/>
          <w:color w:val="136C73"/>
          <w:sz w:val="28"/>
          <w:szCs w:val="28"/>
          <w:lang w:eastAsia="lt-LT"/>
        </w:rPr>
        <w:t>TRANSPORT ENGINEERING</w:t>
      </w:r>
    </w:p>
    <w:p w14:paraId="34157204" w14:textId="77777777" w:rsidR="00B45946" w:rsidRPr="00655C0A" w:rsidRDefault="00B45946" w:rsidP="00B45946">
      <w:pPr>
        <w:jc w:val="center"/>
        <w:rPr>
          <w:rFonts w:ascii="Cambria" w:eastAsia="Calibri" w:hAnsi="Cambria"/>
          <w:color w:val="136C73"/>
          <w:sz w:val="28"/>
          <w:szCs w:val="28"/>
          <w:lang w:eastAsia="lt-LT"/>
        </w:rPr>
      </w:pPr>
      <w:proofErr w:type="gramStart"/>
      <w:r w:rsidRPr="00655C0A">
        <w:rPr>
          <w:rFonts w:ascii="Cambria" w:eastAsia="Calibri" w:hAnsi="Cambria"/>
          <w:color w:val="136C73"/>
          <w:sz w:val="28"/>
          <w:szCs w:val="28"/>
          <w:lang w:eastAsia="lt-LT"/>
        </w:rPr>
        <w:t>at</w:t>
      </w:r>
      <w:proofErr w:type="gramEnd"/>
      <w:r w:rsidRPr="00655C0A">
        <w:rPr>
          <w:rFonts w:ascii="Cambria" w:eastAsia="Calibri" w:hAnsi="Cambria"/>
          <w:color w:val="136C73"/>
          <w:sz w:val="28"/>
          <w:szCs w:val="28"/>
          <w:lang w:eastAsia="lt-LT"/>
        </w:rPr>
        <w:t xml:space="preserve"> </w:t>
      </w:r>
      <w:r w:rsidRPr="00E67633">
        <w:rPr>
          <w:rFonts w:ascii="Cambria" w:eastAsia="Calibri" w:hAnsi="Cambria"/>
          <w:color w:val="136C73"/>
          <w:sz w:val="28"/>
          <w:szCs w:val="28"/>
          <w:lang w:eastAsia="lt-LT"/>
        </w:rPr>
        <w:t>VILNIUS GEDIMINAS TECHNICAL UNIVERSITY</w:t>
      </w:r>
    </w:p>
    <w:p w14:paraId="34157205" w14:textId="77777777" w:rsidR="00B45946" w:rsidRPr="004715B5" w:rsidRDefault="00B45946" w:rsidP="00B45946">
      <w:pPr>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B45946" w:rsidRPr="004715B5" w14:paraId="3415720F" w14:textId="77777777" w:rsidTr="0066612B">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34157206" w14:textId="77777777" w:rsidR="00B45946" w:rsidRPr="00967E8E" w:rsidRDefault="00B45946" w:rsidP="0066612B">
            <w:pPr>
              <w:tabs>
                <w:tab w:val="left" w:pos="0"/>
              </w:tabs>
              <w:spacing w:line="360" w:lineRule="auto"/>
              <w:rPr>
                <w:rFonts w:ascii="Cambria" w:eastAsia="Calibri" w:hAnsi="Cambria"/>
                <w:b/>
                <w:color w:val="FFFFFF"/>
                <w:lang w:eastAsia="lt-LT"/>
              </w:rPr>
            </w:pPr>
            <w:r w:rsidRPr="00967E8E">
              <w:rPr>
                <w:rFonts w:ascii="Cambria" w:eastAsia="Calibri" w:hAnsi="Cambria"/>
                <w:b/>
                <w:color w:val="FFFFFF"/>
                <w:lang w:eastAsia="lt-LT"/>
              </w:rPr>
              <w:t xml:space="preserve">Review team: </w:t>
            </w:r>
          </w:p>
          <w:p w14:paraId="34157207" w14:textId="77777777" w:rsidR="00B45946" w:rsidRPr="00967E8E" w:rsidRDefault="00B45946" w:rsidP="0066612B">
            <w:pPr>
              <w:tabs>
                <w:tab w:val="left" w:pos="0"/>
              </w:tabs>
              <w:spacing w:line="360" w:lineRule="auto"/>
              <w:rPr>
                <w:rFonts w:ascii="Cambria" w:eastAsia="Calibri" w:hAnsi="Cambria"/>
                <w:b/>
                <w:color w:val="FFFFFF"/>
                <w:lang w:eastAsia="lt-LT"/>
              </w:rPr>
            </w:pPr>
            <w:proofErr w:type="spellStart"/>
            <w:r w:rsidRPr="00967E8E">
              <w:rPr>
                <w:rFonts w:ascii="Cambria" w:eastAsia="Calibri" w:hAnsi="Cambria"/>
                <w:b/>
                <w:color w:val="FFFFFF"/>
                <w:lang w:eastAsia="lt-LT"/>
              </w:rPr>
              <w:t>Prof.</w:t>
            </w:r>
            <w:proofErr w:type="spellEnd"/>
            <w:r w:rsidRPr="00967E8E">
              <w:rPr>
                <w:rFonts w:ascii="Cambria" w:eastAsia="Calibri" w:hAnsi="Cambria"/>
                <w:b/>
                <w:color w:val="FFFFFF"/>
                <w:lang w:eastAsia="lt-LT"/>
              </w:rPr>
              <w:t xml:space="preserve"> Dr.-</w:t>
            </w:r>
            <w:proofErr w:type="spellStart"/>
            <w:r w:rsidRPr="00967E8E">
              <w:rPr>
                <w:rFonts w:ascii="Cambria" w:eastAsia="Calibri" w:hAnsi="Cambria"/>
                <w:b/>
                <w:color w:val="FFFFFF"/>
                <w:lang w:eastAsia="lt-LT"/>
              </w:rPr>
              <w:t>Ing</w:t>
            </w:r>
            <w:proofErr w:type="spellEnd"/>
            <w:r w:rsidRPr="00967E8E">
              <w:rPr>
                <w:rFonts w:ascii="Cambria" w:eastAsia="Calibri" w:hAnsi="Cambria"/>
                <w:b/>
                <w:color w:val="FFFFFF"/>
                <w:lang w:eastAsia="lt-LT"/>
              </w:rPr>
              <w:t xml:space="preserve">. Haldor E. Jochim, (team leader) </w:t>
            </w:r>
          </w:p>
          <w:p w14:paraId="34157208" w14:textId="77777777" w:rsidR="00B45946" w:rsidRPr="00967E8E" w:rsidRDefault="00B45946" w:rsidP="0066612B">
            <w:pPr>
              <w:tabs>
                <w:tab w:val="left" w:pos="0"/>
              </w:tabs>
              <w:spacing w:line="360" w:lineRule="auto"/>
              <w:rPr>
                <w:rFonts w:ascii="Cambria" w:eastAsia="Calibri" w:hAnsi="Cambria"/>
                <w:b/>
                <w:color w:val="FFFFFF"/>
                <w:lang w:eastAsia="lt-LT"/>
              </w:rPr>
            </w:pPr>
            <w:proofErr w:type="spellStart"/>
            <w:r w:rsidRPr="00967E8E">
              <w:rPr>
                <w:rFonts w:ascii="Cambria" w:eastAsia="Calibri" w:hAnsi="Cambria"/>
                <w:b/>
                <w:color w:val="FFFFFF"/>
                <w:lang w:eastAsia="lt-LT"/>
              </w:rPr>
              <w:t>Prof.</w:t>
            </w:r>
            <w:proofErr w:type="spellEnd"/>
            <w:r w:rsidRPr="00967E8E">
              <w:rPr>
                <w:rFonts w:ascii="Cambria" w:eastAsia="Calibri" w:hAnsi="Cambria"/>
                <w:b/>
                <w:color w:val="FFFFFF"/>
                <w:lang w:eastAsia="lt-LT"/>
              </w:rPr>
              <w:t xml:space="preserve">, </w:t>
            </w:r>
            <w:proofErr w:type="spellStart"/>
            <w:r w:rsidRPr="00967E8E">
              <w:rPr>
                <w:rFonts w:ascii="Cambria" w:eastAsia="Calibri" w:hAnsi="Cambria"/>
                <w:b/>
                <w:color w:val="FFFFFF"/>
                <w:lang w:eastAsia="lt-LT"/>
              </w:rPr>
              <w:t>Dr.Sc.Eng</w:t>
            </w:r>
            <w:proofErr w:type="spellEnd"/>
            <w:r w:rsidRPr="00967E8E">
              <w:rPr>
                <w:rFonts w:ascii="Cambria" w:eastAsia="Calibri" w:hAnsi="Cambria"/>
                <w:b/>
                <w:color w:val="FFFFFF"/>
                <w:lang w:eastAsia="lt-LT"/>
              </w:rPr>
              <w:t xml:space="preserve">. Irina </w:t>
            </w:r>
            <w:proofErr w:type="spellStart"/>
            <w:r w:rsidRPr="00967E8E">
              <w:rPr>
                <w:rFonts w:ascii="Cambria" w:eastAsia="Calibri" w:hAnsi="Cambria"/>
                <w:b/>
                <w:color w:val="FFFFFF"/>
                <w:lang w:eastAsia="lt-LT"/>
              </w:rPr>
              <w:t>Jackiva</w:t>
            </w:r>
            <w:proofErr w:type="spellEnd"/>
            <w:r w:rsidRPr="00967E8E">
              <w:rPr>
                <w:rFonts w:ascii="Cambria" w:eastAsia="Calibri" w:hAnsi="Cambria"/>
                <w:b/>
                <w:color w:val="FFFFFF"/>
                <w:lang w:eastAsia="lt-LT"/>
              </w:rPr>
              <w:t xml:space="preserve"> (</w:t>
            </w:r>
            <w:proofErr w:type="spellStart"/>
            <w:r w:rsidRPr="00967E8E">
              <w:rPr>
                <w:rFonts w:ascii="Cambria" w:eastAsia="Calibri" w:hAnsi="Cambria"/>
                <w:b/>
                <w:color w:val="FFFFFF"/>
                <w:lang w:eastAsia="lt-LT"/>
              </w:rPr>
              <w:t>Yatskiv</w:t>
            </w:r>
            <w:proofErr w:type="spellEnd"/>
            <w:r w:rsidRPr="00967E8E">
              <w:rPr>
                <w:rFonts w:ascii="Cambria" w:eastAsia="Calibri" w:hAnsi="Cambria"/>
                <w:b/>
                <w:color w:val="FFFFFF"/>
                <w:lang w:eastAsia="lt-LT"/>
              </w:rPr>
              <w:t>), academic,</w:t>
            </w:r>
          </w:p>
          <w:p w14:paraId="34157209" w14:textId="77777777" w:rsidR="00B45946" w:rsidRPr="00967E8E" w:rsidRDefault="00B45946" w:rsidP="0066612B">
            <w:pPr>
              <w:tabs>
                <w:tab w:val="left" w:pos="0"/>
              </w:tabs>
              <w:spacing w:line="360" w:lineRule="auto"/>
              <w:rPr>
                <w:rFonts w:ascii="Cambria" w:eastAsia="Calibri" w:hAnsi="Cambria"/>
                <w:b/>
                <w:color w:val="FFFFFF"/>
                <w:lang w:eastAsia="lt-LT"/>
              </w:rPr>
            </w:pPr>
            <w:r w:rsidRPr="00967E8E">
              <w:rPr>
                <w:rFonts w:ascii="Cambria" w:eastAsia="Calibri" w:hAnsi="Cambria"/>
                <w:b/>
                <w:color w:val="FFFFFF"/>
                <w:lang w:eastAsia="lt-LT"/>
              </w:rPr>
              <w:t xml:space="preserve">Assoc. </w:t>
            </w:r>
            <w:proofErr w:type="spellStart"/>
            <w:r w:rsidRPr="00967E8E">
              <w:rPr>
                <w:rFonts w:ascii="Cambria" w:eastAsia="Calibri" w:hAnsi="Cambria"/>
                <w:b/>
                <w:color w:val="FFFFFF"/>
                <w:lang w:eastAsia="lt-LT"/>
              </w:rPr>
              <w:t>Prof.</w:t>
            </w:r>
            <w:proofErr w:type="spellEnd"/>
            <w:r w:rsidRPr="00967E8E">
              <w:rPr>
                <w:rFonts w:ascii="Cambria" w:eastAsia="Calibri" w:hAnsi="Cambria"/>
                <w:b/>
                <w:color w:val="FFFFFF"/>
                <w:lang w:eastAsia="lt-LT"/>
              </w:rPr>
              <w:t xml:space="preserve"> </w:t>
            </w:r>
            <w:proofErr w:type="spellStart"/>
            <w:r w:rsidRPr="00967E8E">
              <w:rPr>
                <w:rFonts w:ascii="Cambria" w:eastAsia="Calibri" w:hAnsi="Cambria"/>
                <w:b/>
                <w:color w:val="FFFFFF"/>
                <w:lang w:eastAsia="lt-LT"/>
              </w:rPr>
              <w:t>Dr.</w:t>
            </w:r>
            <w:proofErr w:type="spellEnd"/>
            <w:r w:rsidRPr="00967E8E">
              <w:rPr>
                <w:rFonts w:ascii="Cambria" w:eastAsia="Calibri" w:hAnsi="Cambria"/>
                <w:b/>
                <w:color w:val="FFFFFF"/>
                <w:lang w:eastAsia="lt-LT"/>
              </w:rPr>
              <w:t xml:space="preserve"> Vasilij Djačkov, academic,</w:t>
            </w:r>
          </w:p>
          <w:p w14:paraId="3415720A" w14:textId="77777777" w:rsidR="00B45946" w:rsidRPr="00967E8E" w:rsidRDefault="00B45946" w:rsidP="0066612B">
            <w:pPr>
              <w:tabs>
                <w:tab w:val="left" w:pos="0"/>
              </w:tabs>
              <w:spacing w:line="360" w:lineRule="auto"/>
              <w:rPr>
                <w:rFonts w:ascii="Cambria" w:eastAsia="Calibri" w:hAnsi="Cambria"/>
                <w:b/>
                <w:color w:val="FFFFFF"/>
                <w:lang w:eastAsia="lt-LT"/>
              </w:rPr>
            </w:pPr>
            <w:r w:rsidRPr="00967E8E">
              <w:rPr>
                <w:rFonts w:ascii="Cambria" w:eastAsia="Calibri" w:hAnsi="Cambria"/>
                <w:b/>
                <w:color w:val="FFFFFF"/>
                <w:lang w:eastAsia="lt-LT"/>
              </w:rPr>
              <w:t xml:space="preserve">Mr Edmund Lisovski, representative of social partners’ </w:t>
            </w:r>
          </w:p>
          <w:p w14:paraId="3415720B" w14:textId="77777777" w:rsidR="00B45946" w:rsidRPr="00967E8E" w:rsidRDefault="00B45946" w:rsidP="0066612B">
            <w:pPr>
              <w:tabs>
                <w:tab w:val="left" w:pos="0"/>
              </w:tabs>
              <w:spacing w:line="360" w:lineRule="auto"/>
              <w:rPr>
                <w:rFonts w:ascii="Cambria" w:eastAsia="Calibri" w:hAnsi="Cambria"/>
                <w:b/>
                <w:color w:val="FFFFFF"/>
                <w:lang w:eastAsia="lt-LT"/>
              </w:rPr>
            </w:pPr>
            <w:r w:rsidRPr="00967E8E">
              <w:rPr>
                <w:rFonts w:ascii="Cambria" w:eastAsia="Calibri" w:hAnsi="Cambria"/>
                <w:b/>
                <w:color w:val="FFFFFF"/>
                <w:lang w:eastAsia="lt-LT"/>
              </w:rPr>
              <w:t>Ms Irina Duma, students’ representative.</w:t>
            </w:r>
          </w:p>
          <w:p w14:paraId="3415720C" w14:textId="77777777" w:rsidR="00B45946" w:rsidRPr="00967E8E" w:rsidRDefault="00B45946" w:rsidP="0066612B">
            <w:pPr>
              <w:tabs>
                <w:tab w:val="left" w:pos="0"/>
              </w:tabs>
              <w:spacing w:line="360" w:lineRule="auto"/>
              <w:rPr>
                <w:rFonts w:ascii="Cambria" w:eastAsia="Calibri" w:hAnsi="Cambria"/>
                <w:b/>
                <w:color w:val="FFFFFF"/>
                <w:lang w:eastAsia="lt-LT"/>
              </w:rPr>
            </w:pPr>
          </w:p>
          <w:p w14:paraId="3415720D" w14:textId="77777777" w:rsidR="00B45946" w:rsidRPr="00967E8E" w:rsidRDefault="00B45946" w:rsidP="0066612B">
            <w:pPr>
              <w:tabs>
                <w:tab w:val="left" w:pos="0"/>
              </w:tabs>
              <w:spacing w:line="360" w:lineRule="auto"/>
              <w:rPr>
                <w:rFonts w:ascii="Cambria" w:eastAsia="Calibri" w:hAnsi="Cambria"/>
                <w:b/>
                <w:color w:val="FFFFFF"/>
                <w:lang w:eastAsia="lt-LT"/>
              </w:rPr>
            </w:pPr>
            <w:r w:rsidRPr="00967E8E">
              <w:rPr>
                <w:rFonts w:ascii="Cambria" w:eastAsia="Calibri" w:hAnsi="Cambria"/>
                <w:b/>
                <w:color w:val="FFFFFF"/>
                <w:lang w:eastAsia="lt-LT"/>
              </w:rPr>
              <w:t xml:space="preserve">Evaluation coordinator - </w:t>
            </w:r>
          </w:p>
          <w:p w14:paraId="3415720E" w14:textId="77777777" w:rsidR="00B45946" w:rsidRPr="004715B5" w:rsidRDefault="00B45946" w:rsidP="0066612B">
            <w:pPr>
              <w:tabs>
                <w:tab w:val="left" w:pos="0"/>
              </w:tabs>
              <w:spacing w:line="360" w:lineRule="auto"/>
              <w:rPr>
                <w:rFonts w:ascii="Cambria" w:eastAsia="Calibri" w:hAnsi="Cambria"/>
                <w:b/>
                <w:i/>
                <w:color w:val="571C1F"/>
                <w:lang w:eastAsia="lt-LT"/>
              </w:rPr>
            </w:pPr>
            <w:r w:rsidRPr="00967E8E">
              <w:rPr>
                <w:rFonts w:ascii="Cambria" w:eastAsia="Calibri" w:hAnsi="Cambria"/>
                <w:b/>
                <w:color w:val="FFFFFF"/>
                <w:lang w:eastAsia="lt-LT"/>
              </w:rPr>
              <w:t>Ms Ona Charževskytė</w:t>
            </w:r>
          </w:p>
        </w:tc>
      </w:tr>
    </w:tbl>
    <w:p w14:paraId="34157210" w14:textId="77777777" w:rsidR="00B45946" w:rsidRDefault="00B45946" w:rsidP="00B45946">
      <w:pPr>
        <w:pStyle w:val="NoSpacing"/>
        <w:rPr>
          <w:lang w:val="en-GB" w:eastAsia="lt-LT"/>
        </w:rPr>
      </w:pPr>
    </w:p>
    <w:p w14:paraId="34157211" w14:textId="77777777" w:rsidR="00B45946" w:rsidRDefault="00B45946" w:rsidP="00B45946">
      <w:pPr>
        <w:pStyle w:val="NoSpacing"/>
        <w:rPr>
          <w:rFonts w:ascii="Cambria" w:hAnsi="Cambria"/>
          <w:color w:val="136C73"/>
          <w:szCs w:val="24"/>
          <w:lang w:val="en-GB" w:eastAsia="lt-LT"/>
        </w:rPr>
      </w:pPr>
    </w:p>
    <w:p w14:paraId="34157212" w14:textId="77777777" w:rsidR="00B45946" w:rsidRDefault="00B45946" w:rsidP="00B45946">
      <w:pPr>
        <w:pStyle w:val="NoSpacing"/>
        <w:rPr>
          <w:rFonts w:ascii="Cambria" w:hAnsi="Cambria"/>
          <w:color w:val="136C73"/>
          <w:szCs w:val="24"/>
          <w:lang w:val="en-GB" w:eastAsia="lt-LT"/>
        </w:rPr>
      </w:pPr>
    </w:p>
    <w:p w14:paraId="34157213" w14:textId="77777777" w:rsidR="00B45946" w:rsidRDefault="00B45946" w:rsidP="00B45946">
      <w:pPr>
        <w:pStyle w:val="NoSpacing"/>
        <w:rPr>
          <w:rFonts w:ascii="Cambria" w:hAnsi="Cambria"/>
          <w:color w:val="136C73"/>
          <w:szCs w:val="24"/>
          <w:lang w:val="en-GB" w:eastAsia="lt-LT"/>
        </w:rPr>
      </w:pPr>
    </w:p>
    <w:p w14:paraId="34157214" w14:textId="77777777" w:rsidR="00B45946" w:rsidRDefault="00B45946" w:rsidP="00B45946">
      <w:pPr>
        <w:pStyle w:val="NoSpacing"/>
        <w:rPr>
          <w:rFonts w:ascii="Cambria" w:hAnsi="Cambria"/>
          <w:color w:val="136C73"/>
          <w:szCs w:val="24"/>
          <w:lang w:val="en-GB" w:eastAsia="lt-LT"/>
        </w:rPr>
      </w:pPr>
    </w:p>
    <w:p w14:paraId="34157215" w14:textId="77777777" w:rsidR="00B45946" w:rsidRDefault="00B45946" w:rsidP="00B45946">
      <w:pPr>
        <w:pStyle w:val="NoSpacing"/>
        <w:rPr>
          <w:rFonts w:ascii="Cambria" w:hAnsi="Cambria"/>
          <w:color w:val="136C73"/>
          <w:szCs w:val="24"/>
          <w:lang w:val="en-GB" w:eastAsia="lt-LT"/>
        </w:rPr>
      </w:pPr>
    </w:p>
    <w:p w14:paraId="34157216" w14:textId="77777777" w:rsidR="00B45946" w:rsidRDefault="00B45946" w:rsidP="00B45946">
      <w:pPr>
        <w:pStyle w:val="NoSpacing"/>
        <w:rPr>
          <w:rFonts w:ascii="Cambria" w:hAnsi="Cambria"/>
          <w:color w:val="136C73"/>
          <w:szCs w:val="24"/>
          <w:lang w:val="en-GB" w:eastAsia="lt-LT"/>
        </w:rPr>
      </w:pPr>
    </w:p>
    <w:p w14:paraId="34157217" w14:textId="77777777" w:rsidR="00B45946" w:rsidRDefault="00B45946" w:rsidP="00B45946">
      <w:pPr>
        <w:pStyle w:val="NoSpacing"/>
        <w:rPr>
          <w:rFonts w:ascii="Cambria" w:hAnsi="Cambria"/>
          <w:color w:val="136C73"/>
          <w:szCs w:val="24"/>
          <w:lang w:val="en-GB" w:eastAsia="lt-LT"/>
        </w:rPr>
      </w:pPr>
    </w:p>
    <w:p w14:paraId="34157218" w14:textId="77777777" w:rsidR="00B45946" w:rsidRDefault="00B45946" w:rsidP="00B45946">
      <w:pPr>
        <w:pStyle w:val="NoSpacing"/>
        <w:rPr>
          <w:rFonts w:ascii="Cambria" w:hAnsi="Cambria"/>
          <w:color w:val="136C73"/>
          <w:szCs w:val="24"/>
          <w:lang w:val="en-GB" w:eastAsia="lt-LT"/>
        </w:rPr>
      </w:pPr>
    </w:p>
    <w:p w14:paraId="34157219" w14:textId="77777777" w:rsidR="00B45946" w:rsidRDefault="00B45946" w:rsidP="00B45946">
      <w:pPr>
        <w:pStyle w:val="NoSpacing"/>
        <w:rPr>
          <w:rFonts w:ascii="Cambria" w:hAnsi="Cambria"/>
          <w:color w:val="136C73"/>
          <w:szCs w:val="24"/>
          <w:lang w:val="en-GB" w:eastAsia="lt-LT"/>
        </w:rPr>
      </w:pPr>
    </w:p>
    <w:p w14:paraId="3415721A" w14:textId="77777777" w:rsidR="00B45946" w:rsidRPr="00020165" w:rsidRDefault="00B45946" w:rsidP="00B45946">
      <w:pPr>
        <w:pStyle w:val="NoSpacing"/>
        <w:rPr>
          <w:rFonts w:ascii="Cambria" w:hAnsi="Cambria"/>
          <w:color w:val="136C73"/>
          <w:szCs w:val="24"/>
          <w:lang w:val="en-GB" w:eastAsia="lt-LT"/>
        </w:rPr>
      </w:pPr>
      <w:r w:rsidRPr="00020165">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B45946" w:rsidRPr="00020165" w14:paraId="3415721D" w14:textId="77777777" w:rsidTr="0066612B">
        <w:tc>
          <w:tcPr>
            <w:tcW w:w="460" w:type="dxa"/>
            <w:shd w:val="clear" w:color="auto" w:fill="auto"/>
            <w:vAlign w:val="center"/>
          </w:tcPr>
          <w:p w14:paraId="3415721B" w14:textId="77777777" w:rsidR="00B45946" w:rsidRPr="00020165" w:rsidRDefault="00B45946" w:rsidP="0066612B">
            <w:pPr>
              <w:pStyle w:val="NoSpacing"/>
              <w:rPr>
                <w:rFonts w:ascii="Cambria" w:hAnsi="Cambria"/>
                <w:color w:val="136C73"/>
                <w:szCs w:val="24"/>
                <w:lang w:val="en-GB" w:eastAsia="lt-LT"/>
              </w:rPr>
            </w:pPr>
            <w:r w:rsidRPr="00020165">
              <w:rPr>
                <w:rFonts w:ascii="Cambria" w:hAnsi="Cambria"/>
                <w:color w:val="136C73"/>
                <w:szCs w:val="24"/>
                <w:lang w:val="en-GB" w:eastAsia="lt-LT"/>
              </w:rPr>
              <w:t>©</w:t>
            </w:r>
          </w:p>
        </w:tc>
        <w:tc>
          <w:tcPr>
            <w:tcW w:w="6848" w:type="dxa"/>
            <w:shd w:val="clear" w:color="auto" w:fill="auto"/>
          </w:tcPr>
          <w:p w14:paraId="3415721C" w14:textId="77777777" w:rsidR="00B45946" w:rsidRPr="00020165" w:rsidRDefault="00B45946" w:rsidP="0066612B">
            <w:pPr>
              <w:pStyle w:val="NoSpacing"/>
              <w:rPr>
                <w:rFonts w:ascii="Cambria" w:hAnsi="Cambria"/>
                <w:color w:val="136C73"/>
                <w:szCs w:val="24"/>
                <w:lang w:val="en-GB" w:eastAsia="lt-LT"/>
              </w:rPr>
            </w:pPr>
            <w:r w:rsidRPr="00020165">
              <w:rPr>
                <w:rFonts w:ascii="Cambria" w:hAnsi="Cambria"/>
                <w:color w:val="136C73"/>
                <w:szCs w:val="24"/>
                <w:lang w:val="en-GB" w:eastAsia="lt-LT"/>
              </w:rPr>
              <w:t>Centre for Quality Assessment in Higher Education</w:t>
            </w:r>
          </w:p>
        </w:tc>
      </w:tr>
    </w:tbl>
    <w:p w14:paraId="3415721E" w14:textId="77777777" w:rsidR="00B45946" w:rsidRPr="00020165" w:rsidRDefault="00B45946" w:rsidP="00B45946">
      <w:pPr>
        <w:rPr>
          <w:rFonts w:ascii="Cambria" w:eastAsia="Calibri" w:hAnsi="Cambria"/>
          <w:color w:val="136C73"/>
          <w:sz w:val="28"/>
          <w:szCs w:val="28"/>
          <w:lang w:eastAsia="lt-LT"/>
        </w:rPr>
      </w:pPr>
    </w:p>
    <w:p w14:paraId="3415721F" w14:textId="77777777" w:rsidR="00B45946" w:rsidRPr="006D1CFD" w:rsidRDefault="00B45946" w:rsidP="00B45946">
      <w:pPr>
        <w:pStyle w:val="Footer"/>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Vilnius</w:t>
      </w:r>
    </w:p>
    <w:p w14:paraId="34157220" w14:textId="77777777" w:rsidR="00B45946" w:rsidRPr="006D1CFD" w:rsidRDefault="00B45946" w:rsidP="00B45946">
      <w:pPr>
        <w:pStyle w:val="Footer"/>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2021</w:t>
      </w:r>
    </w:p>
    <w:p w14:paraId="34157221" w14:textId="6BD3D72B" w:rsidR="00B45946" w:rsidRPr="00CA6F8D" w:rsidRDefault="003C59BA" w:rsidP="00B45946">
      <w:pPr>
        <w:jc w:val="center"/>
        <w:rPr>
          <w:rFonts w:asciiTheme="majorHAnsi" w:hAnsiTheme="majorHAnsi"/>
          <w:b/>
          <w:color w:val="136C73"/>
          <w:sz w:val="28"/>
          <w:lang w:eastAsia="en-GB"/>
        </w:rPr>
      </w:pPr>
      <w:r>
        <w:rPr>
          <w:rFonts w:asciiTheme="majorHAnsi" w:hAnsiTheme="majorHAnsi"/>
          <w:b/>
          <w:color w:val="136C73"/>
          <w:sz w:val="28"/>
          <w:lang w:eastAsia="en-GB"/>
        </w:rPr>
        <w:lastRenderedPageBreak/>
        <w:t>Study Field Data</w:t>
      </w:r>
      <w:r w:rsidR="005C69BB" w:rsidRPr="005C69BB">
        <w:rPr>
          <w:rFonts w:asciiTheme="majorHAnsi" w:eastAsiaTheme="minorHAnsi" w:hAnsiTheme="majorHAnsi" w:cstheme="minorBidi"/>
          <w:b/>
          <w:color w:val="136C73"/>
          <w:sz w:val="28"/>
          <w:szCs w:val="22"/>
          <w:lang w:val="lt-LT"/>
        </w:rPr>
        <w:t>*</w:t>
      </w:r>
    </w:p>
    <w:tbl>
      <w:tblPr>
        <w:tblStyle w:val="TableGrid"/>
        <w:tblpPr w:leftFromText="180" w:rightFromText="180" w:vertAnchor="text" w:horzAnchor="margin" w:tblpX="-318" w:tblpY="82"/>
        <w:tblW w:w="5233" w:type="pct"/>
        <w:tblLayout w:type="fixed"/>
        <w:tblLook w:val="04A0" w:firstRow="1" w:lastRow="0" w:firstColumn="1" w:lastColumn="0" w:noHBand="0" w:noVBand="1"/>
      </w:tblPr>
      <w:tblGrid>
        <w:gridCol w:w="3985"/>
        <w:gridCol w:w="3047"/>
        <w:gridCol w:w="3045"/>
      </w:tblGrid>
      <w:tr w:rsidR="00B45946" w:rsidRPr="00CA6F8D" w14:paraId="34157225" w14:textId="77777777" w:rsidTr="0066612B">
        <w:trPr>
          <w:trHeight w:val="510"/>
        </w:trPr>
        <w:tc>
          <w:tcPr>
            <w:tcW w:w="1977" w:type="pct"/>
            <w:shd w:val="clear" w:color="136C73" w:fill="EEECE1" w:themeFill="background2"/>
            <w:vAlign w:val="center"/>
          </w:tcPr>
          <w:p w14:paraId="34157222" w14:textId="77777777" w:rsidR="00B45946" w:rsidRPr="003836AF" w:rsidRDefault="00B45946" w:rsidP="0066612B">
            <w:pPr>
              <w:rPr>
                <w:rFonts w:asciiTheme="majorHAnsi" w:hAnsiTheme="majorHAnsi"/>
                <w:color w:val="136C73"/>
                <w:lang w:eastAsia="en-GB"/>
              </w:rPr>
            </w:pPr>
            <w:r w:rsidRPr="003836AF">
              <w:rPr>
                <w:rFonts w:asciiTheme="majorHAnsi" w:eastAsia="MS Mincho" w:hAnsiTheme="majorHAnsi"/>
                <w:color w:val="136C73"/>
                <w:lang w:eastAsia="en-GB"/>
              </w:rPr>
              <w:t>Title of the study programme</w:t>
            </w:r>
          </w:p>
        </w:tc>
        <w:tc>
          <w:tcPr>
            <w:tcW w:w="1512" w:type="pct"/>
            <w:shd w:val="clear" w:color="136C73" w:fill="FFFFFF" w:themeFill="background1"/>
          </w:tcPr>
          <w:p w14:paraId="34157223" w14:textId="546E095B" w:rsidR="00B45946" w:rsidRPr="00967E8E" w:rsidRDefault="005C69BB" w:rsidP="0066612B">
            <w:pPr>
              <w:rPr>
                <w:rFonts w:asciiTheme="majorHAnsi" w:hAnsiTheme="majorHAnsi"/>
                <w:b/>
                <w:i/>
                <w:lang w:eastAsia="en-GB"/>
              </w:rPr>
            </w:pPr>
            <w:r>
              <w:rPr>
                <w:rFonts w:asciiTheme="majorHAnsi" w:hAnsiTheme="majorHAnsi"/>
              </w:rPr>
              <w:t>Programme ,,Transport engineering</w:t>
            </w:r>
            <w:r w:rsidR="00B45946" w:rsidRPr="00967E8E">
              <w:rPr>
                <w:rFonts w:asciiTheme="majorHAnsi" w:hAnsiTheme="majorHAnsi"/>
              </w:rPr>
              <w:t>”</w:t>
            </w:r>
          </w:p>
        </w:tc>
        <w:tc>
          <w:tcPr>
            <w:tcW w:w="1511" w:type="pct"/>
            <w:shd w:val="clear" w:color="136C73" w:fill="FFFFFF" w:themeFill="background1"/>
          </w:tcPr>
          <w:p w14:paraId="34157224" w14:textId="1284039C" w:rsidR="00B45946" w:rsidRPr="00967E8E" w:rsidRDefault="005C69BB" w:rsidP="0066612B">
            <w:pPr>
              <w:rPr>
                <w:rFonts w:asciiTheme="majorHAnsi" w:hAnsiTheme="majorHAnsi"/>
                <w:b/>
                <w:i/>
                <w:lang w:eastAsia="en-GB"/>
              </w:rPr>
            </w:pPr>
            <w:r>
              <w:rPr>
                <w:rFonts w:asciiTheme="majorHAnsi" w:hAnsiTheme="majorHAnsi"/>
              </w:rPr>
              <w:t>Programme ,,Transport engineering</w:t>
            </w:r>
            <w:r w:rsidR="00B45946" w:rsidRPr="00967E8E">
              <w:rPr>
                <w:rFonts w:asciiTheme="majorHAnsi" w:hAnsiTheme="majorHAnsi"/>
              </w:rPr>
              <w:t>”</w:t>
            </w:r>
          </w:p>
        </w:tc>
      </w:tr>
      <w:tr w:rsidR="00B45946" w:rsidRPr="00CA6F8D" w14:paraId="34157229" w14:textId="77777777" w:rsidTr="0066612B">
        <w:trPr>
          <w:trHeight w:val="510"/>
        </w:trPr>
        <w:tc>
          <w:tcPr>
            <w:tcW w:w="1977" w:type="pct"/>
            <w:shd w:val="clear" w:color="auto" w:fill="EEECE1" w:themeFill="background2"/>
            <w:vAlign w:val="center"/>
          </w:tcPr>
          <w:p w14:paraId="34157226"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State code</w:t>
            </w:r>
          </w:p>
        </w:tc>
        <w:tc>
          <w:tcPr>
            <w:tcW w:w="1512" w:type="pct"/>
          </w:tcPr>
          <w:p w14:paraId="34157227" w14:textId="77777777" w:rsidR="00B45946" w:rsidRPr="00967E8E" w:rsidRDefault="00B45946" w:rsidP="0066612B">
            <w:pPr>
              <w:rPr>
                <w:rStyle w:val="fontstyle01"/>
                <w:rFonts w:asciiTheme="majorHAnsi" w:hAnsiTheme="majorHAnsi"/>
                <w:b/>
              </w:rPr>
            </w:pPr>
            <w:r w:rsidRPr="001C6029">
              <w:t>6121EX051</w:t>
            </w:r>
          </w:p>
        </w:tc>
        <w:tc>
          <w:tcPr>
            <w:tcW w:w="1511" w:type="pct"/>
          </w:tcPr>
          <w:p w14:paraId="34157228" w14:textId="77777777" w:rsidR="00B45946" w:rsidRPr="00967E8E" w:rsidRDefault="00B45946" w:rsidP="0066612B">
            <w:pPr>
              <w:rPr>
                <w:rFonts w:asciiTheme="majorHAnsi" w:hAnsiTheme="majorHAnsi"/>
              </w:rPr>
            </w:pPr>
            <w:r w:rsidRPr="001C6029">
              <w:t>6211EX058</w:t>
            </w:r>
          </w:p>
        </w:tc>
      </w:tr>
      <w:tr w:rsidR="00B45946" w:rsidRPr="00CA6F8D" w14:paraId="3415722D" w14:textId="77777777" w:rsidTr="0066612B">
        <w:trPr>
          <w:trHeight w:val="510"/>
        </w:trPr>
        <w:tc>
          <w:tcPr>
            <w:tcW w:w="1977" w:type="pct"/>
            <w:shd w:val="clear" w:color="auto" w:fill="EEECE1" w:themeFill="background2"/>
            <w:vAlign w:val="center"/>
          </w:tcPr>
          <w:p w14:paraId="3415722A"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Type of studies</w:t>
            </w:r>
          </w:p>
        </w:tc>
        <w:tc>
          <w:tcPr>
            <w:tcW w:w="1512" w:type="pct"/>
          </w:tcPr>
          <w:p w14:paraId="3415722B" w14:textId="77777777" w:rsidR="00B45946" w:rsidRPr="00967E8E" w:rsidRDefault="00B45946" w:rsidP="0066612B">
            <w:pPr>
              <w:rPr>
                <w:rFonts w:asciiTheme="majorHAnsi" w:hAnsiTheme="majorHAnsi"/>
                <w:lang w:eastAsia="en-GB"/>
              </w:rPr>
            </w:pPr>
            <w:r w:rsidRPr="00B074DA">
              <w:t>Full time, part time</w:t>
            </w:r>
          </w:p>
        </w:tc>
        <w:tc>
          <w:tcPr>
            <w:tcW w:w="1511" w:type="pct"/>
          </w:tcPr>
          <w:p w14:paraId="3415722C" w14:textId="77777777" w:rsidR="00B45946" w:rsidRPr="00967E8E" w:rsidRDefault="00B45946" w:rsidP="0066612B">
            <w:pPr>
              <w:rPr>
                <w:rFonts w:asciiTheme="majorHAnsi" w:hAnsiTheme="majorHAnsi"/>
                <w:lang w:eastAsia="en-GB"/>
              </w:rPr>
            </w:pPr>
            <w:r w:rsidRPr="00B074DA">
              <w:t>Full time</w:t>
            </w:r>
          </w:p>
        </w:tc>
      </w:tr>
      <w:tr w:rsidR="00B45946" w:rsidRPr="00CA6F8D" w14:paraId="34157231" w14:textId="77777777" w:rsidTr="0066612B">
        <w:trPr>
          <w:trHeight w:val="510"/>
        </w:trPr>
        <w:tc>
          <w:tcPr>
            <w:tcW w:w="1977" w:type="pct"/>
            <w:shd w:val="clear" w:color="auto" w:fill="EEECE1" w:themeFill="background2"/>
            <w:vAlign w:val="center"/>
          </w:tcPr>
          <w:p w14:paraId="3415722E"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Cycle of studies</w:t>
            </w:r>
          </w:p>
        </w:tc>
        <w:tc>
          <w:tcPr>
            <w:tcW w:w="1512" w:type="pct"/>
          </w:tcPr>
          <w:p w14:paraId="3415722F" w14:textId="77777777" w:rsidR="00B45946" w:rsidRPr="00967E8E" w:rsidRDefault="00B45946" w:rsidP="0066612B">
            <w:pPr>
              <w:rPr>
                <w:rFonts w:asciiTheme="majorHAnsi" w:hAnsiTheme="majorHAnsi"/>
                <w:lang w:eastAsia="en-GB"/>
              </w:rPr>
            </w:pPr>
            <w:r w:rsidRPr="00967E8E">
              <w:rPr>
                <w:rFonts w:asciiTheme="majorHAnsi" w:hAnsiTheme="majorHAnsi"/>
              </w:rPr>
              <w:t>First</w:t>
            </w:r>
          </w:p>
        </w:tc>
        <w:tc>
          <w:tcPr>
            <w:tcW w:w="1511" w:type="pct"/>
          </w:tcPr>
          <w:p w14:paraId="34157230" w14:textId="77777777" w:rsidR="00B45946" w:rsidRPr="00967E8E" w:rsidRDefault="00B45946" w:rsidP="0066612B">
            <w:pPr>
              <w:rPr>
                <w:rFonts w:asciiTheme="majorHAnsi" w:hAnsiTheme="majorHAnsi"/>
                <w:lang w:eastAsia="en-GB"/>
              </w:rPr>
            </w:pPr>
            <w:r w:rsidRPr="00967E8E">
              <w:rPr>
                <w:rFonts w:asciiTheme="majorHAnsi" w:hAnsiTheme="majorHAnsi"/>
              </w:rPr>
              <w:t>Second</w:t>
            </w:r>
          </w:p>
        </w:tc>
      </w:tr>
      <w:tr w:rsidR="00B45946" w:rsidRPr="00CA6F8D" w14:paraId="34157235" w14:textId="77777777" w:rsidTr="0066612B">
        <w:trPr>
          <w:trHeight w:val="510"/>
        </w:trPr>
        <w:tc>
          <w:tcPr>
            <w:tcW w:w="1977" w:type="pct"/>
            <w:shd w:val="clear" w:color="auto" w:fill="EEECE1" w:themeFill="background2"/>
            <w:vAlign w:val="center"/>
          </w:tcPr>
          <w:p w14:paraId="34157232"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Mode of study and duration (in years)</w:t>
            </w:r>
          </w:p>
        </w:tc>
        <w:tc>
          <w:tcPr>
            <w:tcW w:w="1512" w:type="pct"/>
          </w:tcPr>
          <w:p w14:paraId="34157233" w14:textId="77777777" w:rsidR="00B45946" w:rsidRPr="00967E8E" w:rsidRDefault="00B45946" w:rsidP="0066612B">
            <w:pPr>
              <w:rPr>
                <w:rFonts w:asciiTheme="majorHAnsi" w:hAnsiTheme="majorHAnsi"/>
                <w:lang w:eastAsia="en-GB"/>
              </w:rPr>
            </w:pPr>
            <w:r w:rsidRPr="00967E8E">
              <w:rPr>
                <w:rFonts w:asciiTheme="majorHAnsi" w:hAnsiTheme="majorHAnsi"/>
              </w:rPr>
              <w:t>Full-time (4)</w:t>
            </w:r>
            <w:r>
              <w:rPr>
                <w:rFonts w:asciiTheme="majorHAnsi" w:hAnsiTheme="majorHAnsi"/>
              </w:rPr>
              <w:t>, part time (6)</w:t>
            </w:r>
          </w:p>
        </w:tc>
        <w:tc>
          <w:tcPr>
            <w:tcW w:w="1511" w:type="pct"/>
          </w:tcPr>
          <w:p w14:paraId="34157234" w14:textId="77777777" w:rsidR="00B45946" w:rsidRPr="00967E8E" w:rsidRDefault="00B45946" w:rsidP="0066612B">
            <w:pPr>
              <w:rPr>
                <w:rFonts w:asciiTheme="majorHAnsi" w:hAnsiTheme="majorHAnsi"/>
                <w:lang w:eastAsia="en-GB"/>
              </w:rPr>
            </w:pPr>
            <w:r w:rsidRPr="00967E8E">
              <w:rPr>
                <w:rFonts w:asciiTheme="majorHAnsi" w:hAnsiTheme="majorHAnsi"/>
              </w:rPr>
              <w:t>Full-time (2)</w:t>
            </w:r>
          </w:p>
        </w:tc>
      </w:tr>
      <w:tr w:rsidR="00B45946" w:rsidRPr="00CA6F8D" w14:paraId="34157239" w14:textId="77777777" w:rsidTr="0066612B">
        <w:trPr>
          <w:trHeight w:val="510"/>
        </w:trPr>
        <w:tc>
          <w:tcPr>
            <w:tcW w:w="1977" w:type="pct"/>
            <w:shd w:val="clear" w:color="auto" w:fill="EEECE1" w:themeFill="background2"/>
            <w:vAlign w:val="center"/>
          </w:tcPr>
          <w:p w14:paraId="34157236"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Credit volume</w:t>
            </w:r>
          </w:p>
        </w:tc>
        <w:tc>
          <w:tcPr>
            <w:tcW w:w="1512" w:type="pct"/>
          </w:tcPr>
          <w:p w14:paraId="34157237" w14:textId="77777777" w:rsidR="00B45946" w:rsidRPr="00967E8E" w:rsidRDefault="00B45946" w:rsidP="0066612B">
            <w:pPr>
              <w:rPr>
                <w:rFonts w:asciiTheme="majorHAnsi" w:hAnsiTheme="majorHAnsi"/>
                <w:lang w:eastAsia="en-GB"/>
              </w:rPr>
            </w:pPr>
            <w:r>
              <w:rPr>
                <w:rFonts w:asciiTheme="majorHAnsi" w:hAnsiTheme="majorHAnsi"/>
                <w:lang w:eastAsia="en-GB"/>
              </w:rPr>
              <w:t>240</w:t>
            </w:r>
          </w:p>
        </w:tc>
        <w:tc>
          <w:tcPr>
            <w:tcW w:w="1511" w:type="pct"/>
          </w:tcPr>
          <w:p w14:paraId="34157238" w14:textId="77777777" w:rsidR="00B45946" w:rsidRPr="00967E8E" w:rsidRDefault="00B45946" w:rsidP="0066612B">
            <w:pPr>
              <w:rPr>
                <w:rFonts w:asciiTheme="majorHAnsi" w:hAnsiTheme="majorHAnsi"/>
                <w:lang w:eastAsia="en-GB"/>
              </w:rPr>
            </w:pPr>
            <w:r>
              <w:rPr>
                <w:rFonts w:asciiTheme="majorHAnsi" w:hAnsiTheme="majorHAnsi"/>
                <w:lang w:eastAsia="en-GB"/>
              </w:rPr>
              <w:t>120</w:t>
            </w:r>
          </w:p>
        </w:tc>
      </w:tr>
      <w:tr w:rsidR="00B45946" w:rsidRPr="00CA6F8D" w14:paraId="3415723D" w14:textId="77777777" w:rsidTr="0066612B">
        <w:trPr>
          <w:trHeight w:val="510"/>
        </w:trPr>
        <w:tc>
          <w:tcPr>
            <w:tcW w:w="1977" w:type="pct"/>
            <w:shd w:val="clear" w:color="auto" w:fill="EEECE1" w:themeFill="background2"/>
            <w:vAlign w:val="center"/>
          </w:tcPr>
          <w:p w14:paraId="3415723A"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Qualification degree and (or) professional qualification</w:t>
            </w:r>
          </w:p>
        </w:tc>
        <w:tc>
          <w:tcPr>
            <w:tcW w:w="1512" w:type="pct"/>
          </w:tcPr>
          <w:p w14:paraId="3415723B" w14:textId="77777777" w:rsidR="00B45946" w:rsidRPr="00967E8E" w:rsidRDefault="00B45946" w:rsidP="0066612B">
            <w:pPr>
              <w:rPr>
                <w:rFonts w:asciiTheme="majorHAnsi" w:hAnsiTheme="majorHAnsi"/>
                <w:lang w:eastAsia="en-GB"/>
              </w:rPr>
            </w:pPr>
            <w:r>
              <w:rPr>
                <w:rFonts w:asciiTheme="majorHAnsi" w:hAnsiTheme="majorHAnsi"/>
              </w:rPr>
              <w:t xml:space="preserve">Bachelor of engineering </w:t>
            </w:r>
          </w:p>
        </w:tc>
        <w:tc>
          <w:tcPr>
            <w:tcW w:w="1511" w:type="pct"/>
          </w:tcPr>
          <w:p w14:paraId="3415723C" w14:textId="77777777" w:rsidR="00B45946" w:rsidRPr="00967E8E" w:rsidRDefault="00B45946" w:rsidP="0066612B">
            <w:pPr>
              <w:rPr>
                <w:rFonts w:asciiTheme="majorHAnsi" w:hAnsiTheme="majorHAnsi"/>
                <w:lang w:eastAsia="en-GB"/>
              </w:rPr>
            </w:pPr>
            <w:r>
              <w:rPr>
                <w:rFonts w:asciiTheme="majorHAnsi" w:hAnsiTheme="majorHAnsi"/>
              </w:rPr>
              <w:t>Master of engineering</w:t>
            </w:r>
          </w:p>
        </w:tc>
      </w:tr>
      <w:tr w:rsidR="00B45946" w:rsidRPr="00CA6F8D" w14:paraId="34157241" w14:textId="77777777" w:rsidTr="0066612B">
        <w:trPr>
          <w:trHeight w:val="510"/>
        </w:trPr>
        <w:tc>
          <w:tcPr>
            <w:tcW w:w="1977" w:type="pct"/>
            <w:shd w:val="clear" w:color="auto" w:fill="EEECE1" w:themeFill="background2"/>
            <w:vAlign w:val="center"/>
          </w:tcPr>
          <w:p w14:paraId="3415723E"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Language of instruction</w:t>
            </w:r>
          </w:p>
        </w:tc>
        <w:tc>
          <w:tcPr>
            <w:tcW w:w="1512" w:type="pct"/>
          </w:tcPr>
          <w:p w14:paraId="3415723F" w14:textId="77777777" w:rsidR="00B45946" w:rsidRPr="00967E8E" w:rsidRDefault="00B45946" w:rsidP="0066612B">
            <w:pPr>
              <w:rPr>
                <w:rFonts w:asciiTheme="majorHAnsi" w:hAnsiTheme="majorHAnsi"/>
              </w:rPr>
            </w:pPr>
            <w:r w:rsidRPr="00967E8E">
              <w:rPr>
                <w:rFonts w:asciiTheme="majorHAnsi" w:hAnsiTheme="majorHAnsi"/>
              </w:rPr>
              <w:t>Lithuanian, English</w:t>
            </w:r>
          </w:p>
        </w:tc>
        <w:tc>
          <w:tcPr>
            <w:tcW w:w="1511" w:type="pct"/>
          </w:tcPr>
          <w:p w14:paraId="34157240" w14:textId="77777777" w:rsidR="00B45946" w:rsidRPr="00967E8E" w:rsidRDefault="00B45946" w:rsidP="0066612B">
            <w:pPr>
              <w:rPr>
                <w:rFonts w:asciiTheme="majorHAnsi" w:hAnsiTheme="majorHAnsi"/>
              </w:rPr>
            </w:pPr>
            <w:r w:rsidRPr="00967E8E">
              <w:rPr>
                <w:rFonts w:asciiTheme="majorHAnsi" w:hAnsiTheme="majorHAnsi"/>
              </w:rPr>
              <w:t>Lithuanian, English</w:t>
            </w:r>
          </w:p>
        </w:tc>
      </w:tr>
      <w:tr w:rsidR="00B45946" w:rsidRPr="00CA6F8D" w14:paraId="34157245" w14:textId="77777777" w:rsidTr="0066612B">
        <w:trPr>
          <w:trHeight w:val="510"/>
        </w:trPr>
        <w:tc>
          <w:tcPr>
            <w:tcW w:w="1977" w:type="pct"/>
            <w:shd w:val="clear" w:color="auto" w:fill="EEECE1" w:themeFill="background2"/>
            <w:vAlign w:val="center"/>
          </w:tcPr>
          <w:p w14:paraId="34157242"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Minimum education required</w:t>
            </w:r>
          </w:p>
        </w:tc>
        <w:tc>
          <w:tcPr>
            <w:tcW w:w="1512" w:type="pct"/>
          </w:tcPr>
          <w:p w14:paraId="34157243" w14:textId="77777777" w:rsidR="00B45946" w:rsidRPr="00967E8E" w:rsidRDefault="00B45946" w:rsidP="0066612B">
            <w:pPr>
              <w:rPr>
                <w:rFonts w:asciiTheme="majorHAnsi" w:hAnsiTheme="majorHAnsi"/>
              </w:rPr>
            </w:pPr>
            <w:r w:rsidRPr="00921B7F">
              <w:rPr>
                <w:rFonts w:asciiTheme="majorHAnsi" w:hAnsiTheme="majorHAnsi"/>
              </w:rPr>
              <w:t>Secondary education</w:t>
            </w:r>
          </w:p>
        </w:tc>
        <w:tc>
          <w:tcPr>
            <w:tcW w:w="1511" w:type="pct"/>
          </w:tcPr>
          <w:p w14:paraId="34157244" w14:textId="77777777" w:rsidR="00B45946" w:rsidRPr="00967E8E" w:rsidRDefault="00B45946" w:rsidP="0066612B">
            <w:pPr>
              <w:rPr>
                <w:rFonts w:asciiTheme="majorHAnsi" w:hAnsiTheme="majorHAnsi"/>
              </w:rPr>
            </w:pPr>
            <w:r w:rsidRPr="00921B7F">
              <w:rPr>
                <w:rFonts w:asciiTheme="majorHAnsi" w:hAnsiTheme="majorHAnsi"/>
              </w:rPr>
              <w:t>Bachelor’s degree</w:t>
            </w:r>
          </w:p>
        </w:tc>
      </w:tr>
      <w:tr w:rsidR="00B45946" w:rsidRPr="00CA6F8D" w14:paraId="34157249" w14:textId="77777777" w:rsidTr="0066612B">
        <w:trPr>
          <w:trHeight w:val="510"/>
        </w:trPr>
        <w:tc>
          <w:tcPr>
            <w:tcW w:w="1977" w:type="pct"/>
            <w:shd w:val="clear" w:color="auto" w:fill="EEECE1" w:themeFill="background2"/>
            <w:vAlign w:val="center"/>
          </w:tcPr>
          <w:p w14:paraId="34157246" w14:textId="77777777" w:rsidR="00B45946" w:rsidRPr="003836AF" w:rsidRDefault="00B45946" w:rsidP="0066612B">
            <w:pPr>
              <w:rPr>
                <w:rFonts w:asciiTheme="majorHAnsi" w:eastAsia="MS Mincho" w:hAnsiTheme="majorHAnsi"/>
                <w:color w:val="136C73"/>
                <w:lang w:eastAsia="en-GB"/>
              </w:rPr>
            </w:pPr>
            <w:r w:rsidRPr="003836AF">
              <w:rPr>
                <w:rFonts w:asciiTheme="majorHAnsi" w:eastAsia="MS Mincho" w:hAnsiTheme="majorHAnsi"/>
                <w:color w:val="136C73"/>
                <w:lang w:eastAsia="en-GB"/>
              </w:rPr>
              <w:t>Registration date of the study programme</w:t>
            </w:r>
          </w:p>
        </w:tc>
        <w:tc>
          <w:tcPr>
            <w:tcW w:w="1512" w:type="pct"/>
          </w:tcPr>
          <w:p w14:paraId="34157247" w14:textId="77777777" w:rsidR="00B45946" w:rsidRPr="00921B7F" w:rsidRDefault="00B45946" w:rsidP="0066612B">
            <w:r w:rsidRPr="00921B7F">
              <w:rPr>
                <w:rFonts w:asciiTheme="majorHAnsi" w:hAnsiTheme="majorHAnsi"/>
              </w:rPr>
              <w:t>19 05 1997</w:t>
            </w:r>
          </w:p>
        </w:tc>
        <w:tc>
          <w:tcPr>
            <w:tcW w:w="1511" w:type="pct"/>
          </w:tcPr>
          <w:p w14:paraId="34157248" w14:textId="77777777" w:rsidR="00B45946" w:rsidRPr="00921B7F" w:rsidRDefault="00B45946" w:rsidP="0066612B">
            <w:pPr>
              <w:rPr>
                <w:rFonts w:asciiTheme="majorHAnsi" w:hAnsiTheme="majorHAnsi"/>
              </w:rPr>
            </w:pPr>
            <w:r w:rsidRPr="00921B7F">
              <w:rPr>
                <w:rFonts w:asciiTheme="majorHAnsi" w:hAnsiTheme="majorHAnsi"/>
              </w:rPr>
              <w:t>19 05 1997</w:t>
            </w:r>
          </w:p>
        </w:tc>
      </w:tr>
    </w:tbl>
    <w:p w14:paraId="0C037788" w14:textId="77777777" w:rsidR="005C69BB" w:rsidRDefault="005C69BB" w:rsidP="005C69BB">
      <w:pPr>
        <w:spacing w:after="200" w:line="276" w:lineRule="auto"/>
        <w:rPr>
          <w:rFonts w:asciiTheme="majorHAnsi" w:hAnsiTheme="majorHAnsi"/>
          <w:i/>
          <w:color w:val="136C73"/>
          <w:lang w:eastAsia="en-GB"/>
        </w:rPr>
      </w:pPr>
    </w:p>
    <w:p w14:paraId="3415724B" w14:textId="290B7CC1" w:rsidR="00B45946" w:rsidRPr="005C69BB" w:rsidRDefault="005C69BB" w:rsidP="005C69BB">
      <w:pPr>
        <w:spacing w:after="200" w:line="276" w:lineRule="auto"/>
        <w:rPr>
          <w:rFonts w:asciiTheme="majorHAnsi" w:eastAsia="Calibri" w:hAnsiTheme="majorHAnsi"/>
          <w:szCs w:val="22"/>
          <w:lang w:eastAsia="lt-LT"/>
        </w:rPr>
      </w:pPr>
      <w:r w:rsidRPr="005C69BB">
        <w:rPr>
          <w:rFonts w:asciiTheme="majorHAnsi" w:hAnsiTheme="majorHAnsi"/>
          <w:i/>
          <w:color w:val="136C73"/>
          <w:lang w:eastAsia="en-GB"/>
        </w:rPr>
        <w:t xml:space="preserve">* </w:t>
      </w:r>
      <w:proofErr w:type="gramStart"/>
      <w:r w:rsidRPr="005C69BB">
        <w:rPr>
          <w:rFonts w:asciiTheme="majorHAnsi" w:hAnsiTheme="majorHAnsi"/>
          <w:i/>
          <w:color w:val="136C73"/>
          <w:lang w:eastAsia="en-GB"/>
        </w:rPr>
        <w:t>if</w:t>
      </w:r>
      <w:proofErr w:type="gramEnd"/>
      <w:r w:rsidRPr="005C69BB">
        <w:rPr>
          <w:rFonts w:asciiTheme="majorHAnsi" w:hAnsiTheme="majorHAnsi"/>
          <w:i/>
          <w:color w:val="136C73"/>
          <w:lang w:eastAsia="en-GB"/>
        </w:rPr>
        <w:t xml:space="preserve"> there are </w:t>
      </w:r>
      <w:r w:rsidRPr="005C69BB">
        <w:rPr>
          <w:rFonts w:asciiTheme="majorHAnsi" w:hAnsiTheme="majorHAnsi"/>
          <w:b/>
          <w:i/>
          <w:color w:val="136C73"/>
          <w:lang w:eastAsia="en-GB"/>
        </w:rPr>
        <w:t>joint</w:t>
      </w:r>
      <w:r w:rsidRPr="005C69BB">
        <w:rPr>
          <w:rFonts w:asciiTheme="majorHAnsi" w:hAnsiTheme="majorHAnsi"/>
          <w:i/>
          <w:color w:val="136C73"/>
          <w:lang w:eastAsia="en-GB"/>
        </w:rPr>
        <w:t xml:space="preserve"> / </w:t>
      </w:r>
      <w:r w:rsidRPr="005C69BB">
        <w:rPr>
          <w:rFonts w:asciiTheme="majorHAnsi" w:hAnsiTheme="majorHAnsi"/>
          <w:b/>
          <w:i/>
          <w:color w:val="136C73"/>
          <w:lang w:eastAsia="en-GB"/>
        </w:rPr>
        <w:t>two-fields</w:t>
      </w:r>
      <w:r w:rsidRPr="005C69BB">
        <w:rPr>
          <w:rFonts w:asciiTheme="majorHAnsi" w:hAnsiTheme="majorHAnsi"/>
          <w:i/>
          <w:color w:val="136C73"/>
          <w:lang w:eastAsia="en-GB"/>
        </w:rPr>
        <w:t xml:space="preserve"> / </w:t>
      </w:r>
      <w:r w:rsidRPr="005C69BB">
        <w:rPr>
          <w:rFonts w:asciiTheme="majorHAnsi" w:hAnsiTheme="majorHAnsi"/>
          <w:b/>
          <w:i/>
          <w:color w:val="136C73"/>
          <w:lang w:eastAsia="en-GB"/>
        </w:rPr>
        <w:t>interdisciplinary</w:t>
      </w:r>
      <w:r w:rsidRPr="005C69BB">
        <w:rPr>
          <w:rFonts w:asciiTheme="majorHAnsi" w:hAnsiTheme="majorHAnsi"/>
          <w:i/>
          <w:color w:val="136C73"/>
          <w:lang w:eastAsia="en-GB"/>
        </w:rPr>
        <w:t xml:space="preserve"> study programmes in the study field, please designate it in the foot-note.</w:t>
      </w:r>
    </w:p>
    <w:p w14:paraId="3415724C" w14:textId="77777777" w:rsidR="00B45946" w:rsidRPr="000D4EE3" w:rsidRDefault="00B45946" w:rsidP="00B45946">
      <w:pPr>
        <w:rPr>
          <w:rFonts w:ascii="Cambria" w:eastAsia="Calibri" w:hAnsi="Cambria"/>
          <w:lang w:eastAsia="lt-LT"/>
        </w:rPr>
      </w:pPr>
      <w:r w:rsidRPr="000D4EE3">
        <w:rPr>
          <w:rFonts w:ascii="Cambria" w:eastAsia="Calibri" w:hAnsi="Cambria"/>
          <w:lang w:val="lt-LT" w:eastAsia="lt-LT"/>
        </w:rPr>
        <w:t>&lt;...&gt;</w:t>
      </w:r>
      <w:r w:rsidRPr="000D4EE3">
        <w:rPr>
          <w:rFonts w:ascii="Cambria" w:eastAsia="Calibri" w:hAnsi="Cambria"/>
          <w:lang w:eastAsia="lt-LT"/>
        </w:rPr>
        <w:br w:type="page"/>
      </w:r>
    </w:p>
    <w:p w14:paraId="3415724D" w14:textId="77777777" w:rsidR="00B45946" w:rsidRPr="004715B5" w:rsidRDefault="00B45946" w:rsidP="00B45946">
      <w:pPr>
        <w:keepNext/>
        <w:keepLines/>
        <w:tabs>
          <w:tab w:val="left" w:pos="680"/>
        </w:tabs>
        <w:spacing w:before="240" w:after="240"/>
        <w:ind w:left="360"/>
        <w:jc w:val="center"/>
        <w:outlineLvl w:val="1"/>
        <w:rPr>
          <w:rFonts w:ascii="Cambria" w:hAnsi="Cambria"/>
          <w:b/>
          <w:bCs/>
          <w:caps/>
          <w:color w:val="136C73"/>
          <w:sz w:val="36"/>
          <w:szCs w:val="26"/>
          <w:highlight w:val="lightGray"/>
          <w:lang w:eastAsia="lt-LT"/>
        </w:rPr>
      </w:pPr>
      <w:bookmarkStart w:id="1" w:name="_Toc57129351"/>
      <w:r w:rsidRPr="004715B5">
        <w:rPr>
          <w:rFonts w:ascii="Cambria" w:hAnsi="Cambria"/>
          <w:b/>
          <w:bCs/>
          <w:caps/>
          <w:color w:val="136C73"/>
          <w:sz w:val="36"/>
          <w:szCs w:val="26"/>
          <w:lang w:eastAsia="lt-LT"/>
        </w:rPr>
        <w:lastRenderedPageBreak/>
        <w:t>II. GENERAL ASSESSMENT</w:t>
      </w:r>
      <w:bookmarkEnd w:id="1"/>
    </w:p>
    <w:p w14:paraId="3415724E" w14:textId="6A4028AF" w:rsidR="00B45946" w:rsidRPr="00921B7F" w:rsidRDefault="00B45946" w:rsidP="00B45946">
      <w:pPr>
        <w:rPr>
          <w:rFonts w:ascii="Cambria" w:eastAsia="Calibri" w:hAnsi="Cambria"/>
          <w:i/>
          <w:lang w:eastAsia="lt-LT"/>
        </w:rPr>
      </w:pPr>
      <w:r w:rsidRPr="00921B7F">
        <w:rPr>
          <w:rFonts w:ascii="Cambria" w:eastAsia="Calibri" w:hAnsi="Cambria"/>
          <w:i/>
          <w:lang w:eastAsia="lt-LT"/>
        </w:rPr>
        <w:t xml:space="preserve">Transport engineering study field and </w:t>
      </w:r>
      <w:r w:rsidRPr="00921B7F">
        <w:rPr>
          <w:rFonts w:ascii="Cambria" w:eastAsia="Calibri" w:hAnsi="Cambria"/>
          <w:b/>
          <w:i/>
          <w:lang w:eastAsia="lt-LT"/>
        </w:rPr>
        <w:t>first cycle</w:t>
      </w:r>
      <w:r w:rsidRPr="00921B7F">
        <w:rPr>
          <w:rFonts w:ascii="Cambria" w:eastAsia="Calibri" w:hAnsi="Cambria"/>
          <w:i/>
          <w:lang w:eastAsia="lt-LT"/>
        </w:rPr>
        <w:t xml:space="preserve"> at</w:t>
      </w:r>
      <w:r w:rsidR="002750E0">
        <w:rPr>
          <w:rFonts w:ascii="Cambria" w:eastAsia="Calibri" w:hAnsi="Cambria"/>
          <w:i/>
          <w:lang w:eastAsia="lt-LT"/>
        </w:rPr>
        <w:t xml:space="preserve"> Vilnius </w:t>
      </w:r>
      <w:r>
        <w:rPr>
          <w:rFonts w:ascii="Cambria" w:eastAsia="Calibri" w:hAnsi="Cambria"/>
          <w:i/>
          <w:lang w:eastAsia="lt-LT"/>
        </w:rPr>
        <w:t>Gediminas Technical University</w:t>
      </w:r>
      <w:r w:rsidRPr="00921B7F">
        <w:rPr>
          <w:rFonts w:ascii="Cambria" w:eastAsia="Calibri" w:hAnsi="Cambria"/>
          <w:i/>
          <w:lang w:eastAsia="lt-LT"/>
        </w:rPr>
        <w:t xml:space="preserve"> is given</w:t>
      </w:r>
      <w:r w:rsidRPr="00921B7F">
        <w:rPr>
          <w:rFonts w:ascii="Cambria" w:eastAsia="Calibri" w:hAnsi="Cambria"/>
          <w:b/>
          <w:i/>
          <w:lang w:eastAsia="lt-LT"/>
        </w:rPr>
        <w:t xml:space="preserve"> positive </w:t>
      </w:r>
      <w:r w:rsidRPr="00921B7F">
        <w:rPr>
          <w:rFonts w:ascii="Cambria" w:eastAsia="Calibri" w:hAnsi="Cambria"/>
          <w:i/>
          <w:lang w:eastAsia="lt-LT"/>
        </w:rPr>
        <w:t xml:space="preserve">evaluation. </w:t>
      </w:r>
    </w:p>
    <w:p w14:paraId="3A65BF3B" w14:textId="77777777" w:rsidR="002750E0" w:rsidRDefault="002750E0" w:rsidP="00B45946">
      <w:pPr>
        <w:rPr>
          <w:rFonts w:ascii="Cambria" w:eastAsia="Calibri" w:hAnsi="Cambria"/>
          <w:i/>
          <w:lang w:eastAsia="lt-LT"/>
        </w:rPr>
      </w:pPr>
    </w:p>
    <w:p w14:paraId="3415724F" w14:textId="77777777" w:rsidR="00B45946" w:rsidRPr="004715B5" w:rsidRDefault="00B45946" w:rsidP="00B45946">
      <w:pPr>
        <w:rPr>
          <w:rFonts w:ascii="Cambria" w:eastAsia="Calibri" w:hAnsi="Cambria"/>
          <w:lang w:eastAsia="lt-LT"/>
        </w:rPr>
      </w:pPr>
      <w:r>
        <w:rPr>
          <w:rFonts w:ascii="Cambria" w:eastAsia="Calibri" w:hAnsi="Cambria"/>
          <w:i/>
          <w:lang w:eastAsia="lt-LT"/>
        </w:rPr>
        <w:t>Study field</w:t>
      </w:r>
      <w:r w:rsidRPr="004715B5">
        <w:rPr>
          <w:rFonts w:ascii="Cambria" w:eastAsia="Calibri" w:hAnsi="Cambria"/>
          <w:i/>
          <w:lang w:eastAsia="lt-LT"/>
        </w:rPr>
        <w:t xml:space="preserve"> </w:t>
      </w:r>
      <w:r>
        <w:rPr>
          <w:rFonts w:ascii="Cambria" w:eastAsia="Calibri" w:hAnsi="Cambria"/>
          <w:i/>
          <w:lang w:eastAsia="lt-LT"/>
        </w:rPr>
        <w:t xml:space="preserve">and cycle </w:t>
      </w:r>
      <w:r w:rsidRPr="004715B5">
        <w:rPr>
          <w:rFonts w:ascii="Cambria" w:eastAsia="Calibri" w:hAnsi="Cambria"/>
          <w:i/>
          <w:lang w:eastAsia="lt-LT"/>
        </w:rPr>
        <w:t>assessment in points by evaluation areas</w:t>
      </w:r>
      <w:r w:rsidRPr="004715B5">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B45946" w:rsidRPr="004715B5" w14:paraId="34157253" w14:textId="77777777" w:rsidTr="0066612B">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50" w14:textId="77777777" w:rsidR="00B45946" w:rsidRPr="004715B5" w:rsidRDefault="00B45946" w:rsidP="0066612B">
            <w:pPr>
              <w:jc w:val="center"/>
              <w:rPr>
                <w:rFonts w:ascii="Cambria" w:eastAsia="Calibri" w:hAnsi="Cambria"/>
                <w:b/>
                <w:color w:val="632423"/>
                <w:lang w:eastAsia="lt-LT"/>
              </w:rPr>
            </w:pPr>
            <w:r w:rsidRPr="004715B5">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34157251" w14:textId="77777777" w:rsidR="00B45946" w:rsidRPr="004715B5" w:rsidRDefault="00B45946" w:rsidP="0066612B">
            <w:pPr>
              <w:jc w:val="center"/>
              <w:rPr>
                <w:rFonts w:ascii="Cambria" w:eastAsia="Calibri" w:hAnsi="Cambria"/>
                <w:b/>
                <w:color w:val="632423"/>
                <w:lang w:eastAsia="lt-LT"/>
              </w:rPr>
            </w:pPr>
            <w:r w:rsidRPr="004715B5">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34157252" w14:textId="77777777" w:rsidR="00B45946" w:rsidRPr="004715B5" w:rsidRDefault="00B45946" w:rsidP="0066612B">
            <w:pPr>
              <w:jc w:val="center"/>
              <w:rPr>
                <w:rFonts w:ascii="Cambria" w:eastAsia="Calibri" w:hAnsi="Cambria"/>
                <w:b/>
                <w:color w:val="632423"/>
                <w:lang w:eastAsia="lt-LT"/>
              </w:rPr>
            </w:pPr>
            <w:r w:rsidRPr="004715B5">
              <w:rPr>
                <w:rFonts w:ascii="Cambria" w:eastAsia="Calibri" w:hAnsi="Cambria"/>
                <w:b/>
                <w:color w:val="632423"/>
                <w:lang w:eastAsia="lt-LT"/>
              </w:rPr>
              <w:t>Evaluation of an area in points*   </w:t>
            </w:r>
          </w:p>
        </w:tc>
      </w:tr>
      <w:tr w:rsidR="00B45946" w:rsidRPr="004715B5" w14:paraId="34157257" w14:textId="77777777" w:rsidTr="0066612B">
        <w:trPr>
          <w:trHeight w:val="399"/>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54"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55" w14:textId="77777777" w:rsidR="00B45946" w:rsidRPr="004715B5" w:rsidRDefault="00B45946" w:rsidP="0066612B">
            <w:pPr>
              <w:numPr>
                <w:ilvl w:val="8"/>
                <w:numId w:val="1"/>
              </w:numPr>
              <w:tabs>
                <w:tab w:val="clear" w:pos="360"/>
                <w:tab w:val="num" w:pos="0"/>
              </w:tabs>
              <w:rPr>
                <w:rFonts w:ascii="Cambria" w:eastAsia="Calibri" w:hAnsi="Cambria"/>
                <w:lang w:eastAsia="lt-LT"/>
              </w:rPr>
            </w:pPr>
            <w:r>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56"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5B" w14:textId="77777777" w:rsidTr="0066612B">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58"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59" w14:textId="77777777" w:rsidR="00B45946" w:rsidRPr="004715B5" w:rsidRDefault="00B45946" w:rsidP="0066612B">
            <w:pPr>
              <w:rPr>
                <w:rFonts w:ascii="Cambria" w:eastAsia="Calibri" w:hAnsi="Cambria"/>
                <w:lang w:eastAsia="lt-LT"/>
              </w:rPr>
            </w:pPr>
            <w:r w:rsidRPr="006D1CFD">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5A"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5F" w14:textId="77777777" w:rsidTr="0066612B">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5C"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5D" w14:textId="77777777" w:rsidR="00B45946" w:rsidRPr="004715B5" w:rsidRDefault="00B45946" w:rsidP="0066612B">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5E"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63" w14:textId="77777777" w:rsidTr="0066612B">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60"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61" w14:textId="77777777" w:rsidR="00B45946" w:rsidRPr="004715B5" w:rsidRDefault="00B45946" w:rsidP="0066612B">
            <w:pPr>
              <w:tabs>
                <w:tab w:val="left" w:pos="0"/>
              </w:tabs>
              <w:rPr>
                <w:rFonts w:ascii="Cambria" w:eastAsia="Calibri" w:hAnsi="Cambria"/>
                <w:lang w:eastAsia="lt-LT"/>
              </w:rPr>
            </w:pPr>
            <w:r w:rsidRPr="006D1CFD">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62"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67" w14:textId="77777777" w:rsidTr="0066612B">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64"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65" w14:textId="77777777" w:rsidR="00B45946" w:rsidRPr="004715B5" w:rsidRDefault="00B45946" w:rsidP="0066612B">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66"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6B" w14:textId="77777777" w:rsidTr="0066612B">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68"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69" w14:textId="77777777" w:rsidR="00B45946" w:rsidRPr="004715B5" w:rsidRDefault="00B45946" w:rsidP="0066612B">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6A"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3</w:t>
            </w:r>
          </w:p>
        </w:tc>
      </w:tr>
      <w:tr w:rsidR="00B45946" w:rsidRPr="004715B5" w14:paraId="3415726F" w14:textId="77777777" w:rsidTr="0066612B">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6C"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6D" w14:textId="77777777" w:rsidR="00B45946" w:rsidRPr="004715B5" w:rsidRDefault="00B45946" w:rsidP="0066612B">
            <w:pPr>
              <w:tabs>
                <w:tab w:val="left" w:pos="29"/>
              </w:tabs>
              <w:rPr>
                <w:rFonts w:ascii="Cambria" w:eastAsia="Calibri" w:hAnsi="Cambria"/>
                <w:lang w:eastAsia="lt-LT"/>
              </w:rPr>
            </w:pPr>
            <w:r w:rsidRPr="004715B5">
              <w:rPr>
                <w:rFonts w:ascii="Cambria" w:eastAsia="Calibri" w:hAnsi="Cambria"/>
                <w:lang w:eastAsia="lt-LT"/>
              </w:rPr>
              <w:t xml:space="preserve">Study quality management and </w:t>
            </w:r>
            <w:r w:rsidRPr="006D1CFD">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6E"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73" w14:textId="77777777" w:rsidTr="0066612B">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70" w14:textId="77777777" w:rsidR="00B45946" w:rsidRPr="004715B5" w:rsidRDefault="00B45946" w:rsidP="0066612B">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71" w14:textId="77777777" w:rsidR="00B45946" w:rsidRPr="004715B5" w:rsidRDefault="00B45946" w:rsidP="0066612B">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72" w14:textId="77777777" w:rsidR="00B45946" w:rsidRPr="004715B5" w:rsidRDefault="00B45946" w:rsidP="0066612B">
            <w:pPr>
              <w:jc w:val="center"/>
              <w:rPr>
                <w:rFonts w:ascii="Cambria" w:eastAsia="Calibri" w:hAnsi="Cambria"/>
                <w:b/>
                <w:lang w:eastAsia="lt-LT"/>
              </w:rPr>
            </w:pPr>
            <w:r>
              <w:rPr>
                <w:rFonts w:ascii="Cambria" w:eastAsia="Calibri" w:hAnsi="Cambria"/>
                <w:b/>
                <w:lang w:eastAsia="lt-LT"/>
              </w:rPr>
              <w:t>27</w:t>
            </w:r>
          </w:p>
        </w:tc>
      </w:tr>
    </w:tbl>
    <w:p w14:paraId="34157274"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*1 (unsatisfactory) - there are essential shortcomings that must be eliminated;</w:t>
      </w:r>
    </w:p>
    <w:p w14:paraId="34157275"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2 (satisfactory) - meets the established minimum requirements, needs improvement;</w:t>
      </w:r>
    </w:p>
    <w:p w14:paraId="34157276"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3 (good) - the field develops systematically, has distinctive features;</w:t>
      </w:r>
    </w:p>
    <w:p w14:paraId="34157277"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4 (very good) - the field is evaluated very well in the national and international context, without any deficiencies;</w:t>
      </w:r>
    </w:p>
    <w:p w14:paraId="34157278"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5 (exceptional) - the field is exceptionally good in the national and international context/environment.</w:t>
      </w:r>
    </w:p>
    <w:p w14:paraId="3415727A" w14:textId="77777777" w:rsidR="00B45946" w:rsidRDefault="00B45946" w:rsidP="00B45946">
      <w:pPr>
        <w:rPr>
          <w:rFonts w:ascii="Cambria" w:eastAsia="Calibri" w:hAnsi="Cambria"/>
          <w:i/>
          <w:highlight w:val="yellow"/>
          <w:lang w:eastAsia="lt-LT"/>
        </w:rPr>
      </w:pPr>
    </w:p>
    <w:p w14:paraId="3415727B" w14:textId="20E88CD7" w:rsidR="00B45946" w:rsidRPr="00921B7F" w:rsidRDefault="00B45946" w:rsidP="00B45946">
      <w:pPr>
        <w:rPr>
          <w:rFonts w:ascii="Cambria" w:eastAsia="Calibri" w:hAnsi="Cambria"/>
          <w:i/>
          <w:lang w:eastAsia="lt-LT"/>
        </w:rPr>
      </w:pPr>
      <w:r w:rsidRPr="00921B7F">
        <w:rPr>
          <w:rFonts w:ascii="Cambria" w:eastAsia="Calibri" w:hAnsi="Cambria"/>
          <w:i/>
          <w:lang w:eastAsia="lt-LT"/>
        </w:rPr>
        <w:t xml:space="preserve">Transport engineering study field and </w:t>
      </w:r>
      <w:r w:rsidRPr="00921B7F">
        <w:rPr>
          <w:rFonts w:ascii="Cambria" w:eastAsia="Calibri" w:hAnsi="Cambria"/>
          <w:b/>
          <w:i/>
          <w:lang w:eastAsia="lt-LT"/>
        </w:rPr>
        <w:t>second cycle</w:t>
      </w:r>
      <w:r w:rsidRPr="00921B7F">
        <w:rPr>
          <w:rFonts w:ascii="Cambria" w:eastAsia="Calibri" w:hAnsi="Cambria"/>
          <w:i/>
          <w:lang w:eastAsia="lt-LT"/>
        </w:rPr>
        <w:t xml:space="preserve"> at </w:t>
      </w:r>
      <w:r w:rsidR="002750E0">
        <w:rPr>
          <w:rFonts w:ascii="Cambria" w:eastAsia="Calibri" w:hAnsi="Cambria"/>
          <w:i/>
          <w:lang w:eastAsia="lt-LT"/>
        </w:rPr>
        <w:t xml:space="preserve">Vilnius </w:t>
      </w:r>
      <w:r>
        <w:rPr>
          <w:rFonts w:ascii="Cambria" w:eastAsia="Calibri" w:hAnsi="Cambria"/>
          <w:i/>
          <w:lang w:eastAsia="lt-LT"/>
        </w:rPr>
        <w:t>Gediminas Technical University</w:t>
      </w:r>
      <w:r w:rsidRPr="00921B7F">
        <w:rPr>
          <w:rFonts w:ascii="Cambria" w:eastAsia="Calibri" w:hAnsi="Cambria"/>
          <w:i/>
          <w:lang w:eastAsia="lt-LT"/>
        </w:rPr>
        <w:t xml:space="preserve"> is given</w:t>
      </w:r>
      <w:r w:rsidRPr="00921B7F">
        <w:rPr>
          <w:rFonts w:ascii="Cambria" w:eastAsia="Calibri" w:hAnsi="Cambria"/>
          <w:b/>
          <w:i/>
          <w:lang w:eastAsia="lt-LT"/>
        </w:rPr>
        <w:t xml:space="preserve"> positive </w:t>
      </w:r>
      <w:r w:rsidRPr="00921B7F">
        <w:rPr>
          <w:rFonts w:ascii="Cambria" w:eastAsia="Calibri" w:hAnsi="Cambria"/>
          <w:i/>
          <w:lang w:eastAsia="lt-LT"/>
        </w:rPr>
        <w:t xml:space="preserve">evaluation. </w:t>
      </w:r>
    </w:p>
    <w:p w14:paraId="146FD5AC" w14:textId="77777777" w:rsidR="002750E0" w:rsidRDefault="002750E0" w:rsidP="00B45946">
      <w:pPr>
        <w:rPr>
          <w:rFonts w:ascii="Cambria" w:eastAsia="Calibri" w:hAnsi="Cambria"/>
          <w:i/>
          <w:lang w:eastAsia="lt-LT"/>
        </w:rPr>
      </w:pPr>
    </w:p>
    <w:p w14:paraId="3415727C" w14:textId="77777777" w:rsidR="00B45946" w:rsidRDefault="00B45946" w:rsidP="00B45946">
      <w:pPr>
        <w:rPr>
          <w:rFonts w:ascii="Cambria" w:eastAsia="Calibri" w:hAnsi="Cambria"/>
          <w:lang w:eastAsia="lt-LT"/>
        </w:rPr>
      </w:pPr>
      <w:r>
        <w:rPr>
          <w:rFonts w:ascii="Cambria" w:eastAsia="Calibri" w:hAnsi="Cambria"/>
          <w:i/>
          <w:lang w:eastAsia="lt-LT"/>
        </w:rPr>
        <w:t>Study field</w:t>
      </w:r>
      <w:r w:rsidRPr="004715B5">
        <w:rPr>
          <w:rFonts w:ascii="Cambria" w:eastAsia="Calibri" w:hAnsi="Cambria"/>
          <w:i/>
          <w:lang w:eastAsia="lt-LT"/>
        </w:rPr>
        <w:t xml:space="preserve"> </w:t>
      </w:r>
      <w:r>
        <w:rPr>
          <w:rFonts w:ascii="Cambria" w:eastAsia="Calibri" w:hAnsi="Cambria"/>
          <w:i/>
          <w:lang w:eastAsia="lt-LT"/>
        </w:rPr>
        <w:t xml:space="preserve">and cycle </w:t>
      </w:r>
      <w:r w:rsidRPr="004715B5">
        <w:rPr>
          <w:rFonts w:ascii="Cambria" w:eastAsia="Calibri" w:hAnsi="Cambria"/>
          <w:i/>
          <w:lang w:eastAsia="lt-LT"/>
        </w:rPr>
        <w:t>assessment in points by evaluation areas</w:t>
      </w:r>
      <w:r w:rsidRPr="004715B5">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B45946" w:rsidRPr="004715B5" w14:paraId="34157280" w14:textId="77777777" w:rsidTr="0066612B">
        <w:trPr>
          <w:trHeight w:val="60"/>
        </w:trPr>
        <w:tc>
          <w:tcPr>
            <w:tcW w:w="57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7D" w14:textId="77777777" w:rsidR="00B45946" w:rsidRPr="004715B5" w:rsidRDefault="00B45946" w:rsidP="0066612B">
            <w:pPr>
              <w:jc w:val="center"/>
              <w:rPr>
                <w:rFonts w:ascii="Cambria" w:eastAsia="Calibri" w:hAnsi="Cambria"/>
                <w:b/>
                <w:color w:val="632423"/>
                <w:lang w:eastAsia="lt-LT"/>
              </w:rPr>
            </w:pPr>
            <w:r w:rsidRPr="004715B5">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3415727E" w14:textId="77777777" w:rsidR="00B45946" w:rsidRPr="004715B5" w:rsidRDefault="00B45946" w:rsidP="0066612B">
            <w:pPr>
              <w:jc w:val="center"/>
              <w:rPr>
                <w:rFonts w:ascii="Cambria" w:eastAsia="Calibri" w:hAnsi="Cambria"/>
                <w:b/>
                <w:color w:val="632423"/>
                <w:lang w:eastAsia="lt-LT"/>
              </w:rPr>
            </w:pPr>
            <w:r w:rsidRPr="004715B5">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3415727F" w14:textId="77777777" w:rsidR="00B45946" w:rsidRPr="004715B5" w:rsidRDefault="00B45946" w:rsidP="0066612B">
            <w:pPr>
              <w:jc w:val="center"/>
              <w:rPr>
                <w:rFonts w:ascii="Cambria" w:eastAsia="Calibri" w:hAnsi="Cambria"/>
                <w:b/>
                <w:color w:val="632423"/>
                <w:lang w:eastAsia="lt-LT"/>
              </w:rPr>
            </w:pPr>
            <w:r w:rsidRPr="004715B5">
              <w:rPr>
                <w:rFonts w:ascii="Cambria" w:eastAsia="Calibri" w:hAnsi="Cambria"/>
                <w:b/>
                <w:color w:val="632423"/>
                <w:lang w:eastAsia="lt-LT"/>
              </w:rPr>
              <w:t>Evaluation of an area in points*   </w:t>
            </w:r>
          </w:p>
        </w:tc>
      </w:tr>
      <w:tr w:rsidR="00B45946" w:rsidRPr="004715B5" w14:paraId="34157284" w14:textId="77777777" w:rsidTr="0066612B">
        <w:trPr>
          <w:trHeight w:val="399"/>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81"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82" w14:textId="77777777" w:rsidR="00B45946" w:rsidRPr="004715B5" w:rsidRDefault="00B45946" w:rsidP="0066612B">
            <w:pPr>
              <w:numPr>
                <w:ilvl w:val="8"/>
                <w:numId w:val="1"/>
              </w:numPr>
              <w:tabs>
                <w:tab w:val="clear" w:pos="360"/>
                <w:tab w:val="num" w:pos="0"/>
              </w:tabs>
              <w:rPr>
                <w:rFonts w:ascii="Cambria" w:eastAsia="Calibri" w:hAnsi="Cambria"/>
                <w:lang w:eastAsia="lt-LT"/>
              </w:rPr>
            </w:pPr>
            <w:r>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83"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88" w14:textId="77777777" w:rsidTr="0066612B">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85"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86" w14:textId="77777777" w:rsidR="00B45946" w:rsidRPr="004715B5" w:rsidRDefault="00B45946" w:rsidP="0066612B">
            <w:pPr>
              <w:rPr>
                <w:rFonts w:ascii="Cambria" w:eastAsia="Calibri" w:hAnsi="Cambria"/>
                <w:lang w:eastAsia="lt-LT"/>
              </w:rPr>
            </w:pPr>
            <w:r w:rsidRPr="006D1CFD">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87"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8C" w14:textId="77777777" w:rsidTr="0066612B">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89"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8A" w14:textId="77777777" w:rsidR="00B45946" w:rsidRPr="004715B5" w:rsidRDefault="00B45946" w:rsidP="0066612B">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8B"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90" w14:textId="77777777" w:rsidTr="0066612B">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8D"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8E" w14:textId="77777777" w:rsidR="00B45946" w:rsidRPr="004715B5" w:rsidRDefault="00B45946" w:rsidP="0066612B">
            <w:pPr>
              <w:tabs>
                <w:tab w:val="left" w:pos="0"/>
              </w:tabs>
              <w:rPr>
                <w:rFonts w:ascii="Cambria" w:eastAsia="Calibri" w:hAnsi="Cambria"/>
                <w:lang w:eastAsia="lt-LT"/>
              </w:rPr>
            </w:pPr>
            <w:r w:rsidRPr="006D1CFD">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8F"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94" w14:textId="77777777" w:rsidTr="0066612B">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91"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92" w14:textId="77777777" w:rsidR="00B45946" w:rsidRPr="004715B5" w:rsidRDefault="00B45946" w:rsidP="0066612B">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93"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98" w14:textId="77777777" w:rsidTr="0066612B">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95"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96" w14:textId="77777777" w:rsidR="00B45946" w:rsidRPr="004715B5" w:rsidRDefault="00B45946" w:rsidP="0066612B">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97"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3</w:t>
            </w:r>
          </w:p>
        </w:tc>
      </w:tr>
      <w:tr w:rsidR="00B45946" w:rsidRPr="004715B5" w14:paraId="3415729C" w14:textId="77777777" w:rsidTr="0066612B">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99" w14:textId="77777777" w:rsidR="00B45946" w:rsidRPr="004715B5" w:rsidRDefault="00B45946" w:rsidP="0066612B">
            <w:pPr>
              <w:rPr>
                <w:rFonts w:ascii="Cambria" w:eastAsia="Calibri" w:hAnsi="Cambria"/>
                <w:lang w:eastAsia="lt-LT"/>
              </w:rPr>
            </w:pPr>
            <w:r w:rsidRPr="004715B5">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9A" w14:textId="77777777" w:rsidR="00B45946" w:rsidRPr="004715B5" w:rsidRDefault="00B45946" w:rsidP="0066612B">
            <w:pPr>
              <w:tabs>
                <w:tab w:val="left" w:pos="29"/>
              </w:tabs>
              <w:rPr>
                <w:rFonts w:ascii="Cambria" w:eastAsia="Calibri" w:hAnsi="Cambria"/>
                <w:lang w:eastAsia="lt-LT"/>
              </w:rPr>
            </w:pPr>
            <w:r w:rsidRPr="004715B5">
              <w:rPr>
                <w:rFonts w:ascii="Cambria" w:eastAsia="Calibri" w:hAnsi="Cambria"/>
                <w:lang w:eastAsia="lt-LT"/>
              </w:rPr>
              <w:t xml:space="preserve">Study quality management and </w:t>
            </w:r>
            <w:r w:rsidRPr="006D1CFD">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9B" w14:textId="77777777" w:rsidR="00B45946" w:rsidRPr="004715B5" w:rsidRDefault="00B45946" w:rsidP="0066612B">
            <w:pPr>
              <w:jc w:val="center"/>
              <w:rPr>
                <w:rFonts w:ascii="Cambria" w:eastAsia="Calibri" w:hAnsi="Cambria"/>
                <w:lang w:eastAsia="lt-LT"/>
              </w:rPr>
            </w:pPr>
            <w:r>
              <w:rPr>
                <w:rFonts w:ascii="Cambria" w:eastAsia="Calibri" w:hAnsi="Cambria"/>
                <w:lang w:eastAsia="lt-LT"/>
              </w:rPr>
              <w:t>4</w:t>
            </w:r>
          </w:p>
        </w:tc>
      </w:tr>
      <w:tr w:rsidR="00B45946" w:rsidRPr="004715B5" w14:paraId="341572A0" w14:textId="77777777" w:rsidTr="0066612B">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15729D" w14:textId="77777777" w:rsidR="00B45946" w:rsidRPr="004715B5" w:rsidRDefault="00B45946" w:rsidP="0066612B">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9E" w14:textId="77777777" w:rsidR="00B45946" w:rsidRPr="004715B5" w:rsidRDefault="00B45946" w:rsidP="0066612B">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415729F" w14:textId="77777777" w:rsidR="00B45946" w:rsidRPr="004715B5" w:rsidRDefault="00B45946" w:rsidP="0066612B">
            <w:pPr>
              <w:jc w:val="center"/>
              <w:rPr>
                <w:rFonts w:ascii="Cambria" w:eastAsia="Calibri" w:hAnsi="Cambria"/>
                <w:b/>
                <w:lang w:eastAsia="lt-LT"/>
              </w:rPr>
            </w:pPr>
            <w:r>
              <w:rPr>
                <w:rFonts w:ascii="Cambria" w:eastAsia="Calibri" w:hAnsi="Cambria"/>
                <w:b/>
                <w:lang w:eastAsia="lt-LT"/>
              </w:rPr>
              <w:t>27</w:t>
            </w:r>
          </w:p>
        </w:tc>
      </w:tr>
    </w:tbl>
    <w:p w14:paraId="341572A1"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*1 (unsatisfactory) - there are essential shortcomings that must be eliminated;</w:t>
      </w:r>
    </w:p>
    <w:p w14:paraId="341572A2"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2 (satisfactory) - meets the established minimum requirements, needs improvement;</w:t>
      </w:r>
    </w:p>
    <w:p w14:paraId="341572A3"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3 (good) - the field develops systematically, has distinctive features;</w:t>
      </w:r>
    </w:p>
    <w:p w14:paraId="341572A4" w14:textId="77777777" w:rsidR="00B45946" w:rsidRPr="004715B5"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4 (very good) - the field is evaluated very well in the national and international context, without any deficiencies;</w:t>
      </w:r>
    </w:p>
    <w:p w14:paraId="341572A6" w14:textId="6E823615" w:rsidR="00B45946" w:rsidRPr="002750E0" w:rsidRDefault="00B45946" w:rsidP="00B45946">
      <w:pPr>
        <w:rPr>
          <w:rFonts w:ascii="Cambria" w:eastAsia="Calibri" w:hAnsi="Cambria"/>
          <w:sz w:val="20"/>
          <w:szCs w:val="20"/>
          <w:lang w:eastAsia="lt-LT"/>
        </w:rPr>
      </w:pPr>
      <w:r w:rsidRPr="004715B5">
        <w:rPr>
          <w:rFonts w:ascii="Cambria" w:eastAsia="Calibri" w:hAnsi="Cambria"/>
          <w:sz w:val="20"/>
          <w:szCs w:val="20"/>
          <w:lang w:eastAsia="lt-LT"/>
        </w:rPr>
        <w:t>5 (exceptional) - the field is exceptionally good in the national and international context/environment.</w:t>
      </w:r>
    </w:p>
    <w:p w14:paraId="341572A7" w14:textId="77777777" w:rsidR="00B45946" w:rsidRPr="00C3031B" w:rsidRDefault="00B45946" w:rsidP="00B45946">
      <w:pPr>
        <w:rPr>
          <w:rFonts w:ascii="Cambria" w:eastAsia="Calibri" w:hAnsi="Cambria"/>
          <w:lang w:eastAsia="lt-LT"/>
        </w:rPr>
        <w:sectPr w:rsidR="00B45946" w:rsidRPr="00C3031B">
          <w:pgSz w:w="11906" w:h="16838"/>
          <w:pgMar w:top="1701" w:right="567" w:bottom="1134" w:left="1701" w:header="567" w:footer="567" w:gutter="0"/>
          <w:cols w:space="1296"/>
          <w:docGrid w:linePitch="360"/>
        </w:sectPr>
      </w:pPr>
      <w:r>
        <w:rPr>
          <w:rFonts w:ascii="Cambria" w:eastAsia="Calibri" w:hAnsi="Cambria"/>
          <w:lang w:eastAsia="lt-LT"/>
        </w:rPr>
        <w:t>&lt;…&gt;</w:t>
      </w:r>
    </w:p>
    <w:p w14:paraId="341572A8" w14:textId="77777777" w:rsidR="00B45946" w:rsidRDefault="00B45946" w:rsidP="00B45946">
      <w:pPr>
        <w:jc w:val="center"/>
        <w:rPr>
          <w:rFonts w:ascii="Cambria" w:hAnsi="Cambria"/>
          <w:b/>
          <w:bCs/>
          <w:caps/>
          <w:color w:val="136C73"/>
          <w:sz w:val="36"/>
          <w:szCs w:val="26"/>
          <w:lang w:eastAsia="lt-LT"/>
        </w:rPr>
      </w:pPr>
      <w:bookmarkStart w:id="2" w:name="_Toc67586252"/>
      <w:r w:rsidRPr="00F36C63">
        <w:rPr>
          <w:rFonts w:ascii="Cambria" w:hAnsi="Cambria"/>
          <w:b/>
          <w:bCs/>
          <w:caps/>
          <w:color w:val="136C73"/>
          <w:sz w:val="36"/>
          <w:szCs w:val="26"/>
          <w:lang w:eastAsia="lt-LT"/>
        </w:rPr>
        <w:lastRenderedPageBreak/>
        <w:t>IV. EXAMPLES OF EXCELLENCE</w:t>
      </w:r>
      <w:bookmarkEnd w:id="2"/>
    </w:p>
    <w:p w14:paraId="341572A9" w14:textId="77777777" w:rsidR="00B45946" w:rsidRPr="00F36C63" w:rsidRDefault="00B45946" w:rsidP="00B45946">
      <w:pPr>
        <w:jc w:val="center"/>
        <w:rPr>
          <w:rFonts w:ascii="Cambria" w:hAnsi="Cambria"/>
          <w:b/>
          <w:bCs/>
          <w:caps/>
          <w:color w:val="136C73"/>
          <w:sz w:val="36"/>
          <w:szCs w:val="26"/>
          <w:lang w:eastAsia="lt-LT"/>
        </w:rPr>
      </w:pPr>
    </w:p>
    <w:p w14:paraId="341572AA" w14:textId="77777777" w:rsidR="00B45946" w:rsidRPr="002750E0" w:rsidRDefault="00B45946" w:rsidP="002750E0">
      <w:pPr>
        <w:jc w:val="both"/>
        <w:rPr>
          <w:rFonts w:ascii="Cambria" w:eastAsia="Calibri" w:hAnsi="Cambria"/>
          <w:iCs/>
          <w:lang w:eastAsia="lt-LT"/>
        </w:rPr>
      </w:pPr>
      <w:r w:rsidRPr="002750E0">
        <w:rPr>
          <w:rFonts w:ascii="Cambria" w:eastAsia="Calibri" w:hAnsi="Cambria"/>
          <w:iCs/>
          <w:lang w:eastAsia="lt-LT"/>
        </w:rPr>
        <w:t>One example of excellence is the organisation of the process of the teaching staffs’ academic mobility. There are opportunities for lecturers to improve the English Languages skills, update their knowledge and professional skills and there is a transparent selection system (page 49). Candidates who take part in the mobility for first time get additional extra points in competition. And as result, the number of outgoing teachers has increased significantly.</w:t>
      </w:r>
    </w:p>
    <w:p w14:paraId="341572AB" w14:textId="77777777" w:rsidR="00B45946" w:rsidRDefault="00B45946" w:rsidP="00B45946">
      <w:pPr>
        <w:rPr>
          <w:rFonts w:ascii="Cambria" w:eastAsia="Calibri" w:hAnsi="Cambria"/>
          <w:lang w:eastAsia="lt-LT"/>
        </w:rPr>
      </w:pPr>
    </w:p>
    <w:p w14:paraId="341572AE" w14:textId="1461C28F" w:rsidR="00B45946" w:rsidRPr="002750E0" w:rsidRDefault="00B45946" w:rsidP="00863B63">
      <w:pPr>
        <w:keepNext/>
        <w:keepLines/>
        <w:tabs>
          <w:tab w:val="left" w:pos="680"/>
        </w:tabs>
        <w:spacing w:before="240" w:after="240"/>
        <w:ind w:left="357"/>
        <w:jc w:val="center"/>
        <w:outlineLvl w:val="1"/>
        <w:rPr>
          <w:rFonts w:ascii="Cambria" w:hAnsi="Cambria"/>
          <w:b/>
          <w:bCs/>
          <w:caps/>
          <w:color w:val="136C73"/>
          <w:sz w:val="36"/>
          <w:szCs w:val="26"/>
          <w:lang w:eastAsia="lt-LT"/>
        </w:rPr>
      </w:pPr>
      <w:bookmarkStart w:id="3" w:name="_Toc57129361"/>
      <w:r w:rsidRPr="00677F9A">
        <w:rPr>
          <w:rFonts w:ascii="Cambria" w:hAnsi="Cambria"/>
          <w:b/>
          <w:bCs/>
          <w:caps/>
          <w:color w:val="136C73"/>
          <w:sz w:val="36"/>
          <w:szCs w:val="26"/>
          <w:lang w:eastAsia="lt-LT"/>
        </w:rPr>
        <w:t>v. RECOMMENDATIONS</w:t>
      </w:r>
      <w:bookmarkEnd w:id="3"/>
      <w:r w:rsidRPr="00677F9A">
        <w:rPr>
          <w:rFonts w:ascii="Cambria" w:hAnsi="Cambria"/>
          <w:b/>
          <w:bCs/>
          <w:caps/>
          <w:color w:val="136C73"/>
          <w:sz w:val="36"/>
          <w:szCs w:val="26"/>
          <w:lang w:eastAsia="lt-LT"/>
        </w:rPr>
        <w:t xml:space="preserve"> </w:t>
      </w:r>
    </w:p>
    <w:p w14:paraId="341572B0" w14:textId="766F47B6" w:rsidR="00B45946" w:rsidRPr="002750E0" w:rsidRDefault="00B45946" w:rsidP="002750E0">
      <w:pPr>
        <w:spacing w:after="200"/>
        <w:jc w:val="both"/>
        <w:rPr>
          <w:rFonts w:ascii="Cambria" w:eastAsia="Calibri" w:hAnsi="Cambria"/>
          <w:bCs/>
          <w:szCs w:val="22"/>
          <w:lang w:eastAsia="lt-LT"/>
        </w:rPr>
      </w:pPr>
      <w:r w:rsidRPr="002750E0">
        <w:rPr>
          <w:rFonts w:ascii="Cambria" w:eastAsia="Calibri" w:hAnsi="Cambria"/>
          <w:bCs/>
          <w:szCs w:val="22"/>
          <w:lang w:eastAsia="lt-LT"/>
        </w:rPr>
        <w:t>1.</w:t>
      </w:r>
      <w:r w:rsidR="002750E0" w:rsidRPr="002750E0">
        <w:rPr>
          <w:rFonts w:ascii="Cambria" w:eastAsia="Calibri" w:hAnsi="Cambria"/>
          <w:bCs/>
          <w:szCs w:val="22"/>
          <w:lang w:eastAsia="lt-LT"/>
        </w:rPr>
        <w:t xml:space="preserve"> </w:t>
      </w:r>
      <w:r w:rsidRPr="002750E0">
        <w:rPr>
          <w:rFonts w:ascii="Cambria" w:eastAsia="Calibri" w:hAnsi="Cambria"/>
          <w:bCs/>
          <w:szCs w:val="22"/>
          <w:lang w:eastAsia="lt-LT"/>
        </w:rPr>
        <w:t>It is recommended to have a stronger monitoring system for student support services and student counselling, together with a response plan for those items that may not function at the desired rate.</w:t>
      </w:r>
    </w:p>
    <w:p w14:paraId="341572B2" w14:textId="0CFA35CE" w:rsidR="00B45946" w:rsidRPr="002750E0" w:rsidRDefault="00B45946" w:rsidP="002750E0">
      <w:pPr>
        <w:spacing w:after="200"/>
        <w:jc w:val="both"/>
        <w:rPr>
          <w:rFonts w:ascii="Cambria" w:eastAsia="Calibri" w:hAnsi="Cambria"/>
          <w:bCs/>
          <w:szCs w:val="22"/>
          <w:lang w:eastAsia="lt-LT"/>
        </w:rPr>
      </w:pPr>
      <w:r w:rsidRPr="002750E0">
        <w:rPr>
          <w:rFonts w:ascii="Cambria" w:eastAsia="Calibri" w:hAnsi="Cambria"/>
          <w:bCs/>
          <w:szCs w:val="22"/>
          <w:lang w:eastAsia="lt-LT"/>
        </w:rPr>
        <w:t>2.</w:t>
      </w:r>
      <w:r w:rsidR="002750E0" w:rsidRPr="002750E0">
        <w:rPr>
          <w:rFonts w:ascii="Cambria" w:eastAsia="Calibri" w:hAnsi="Cambria"/>
          <w:bCs/>
          <w:szCs w:val="22"/>
          <w:lang w:eastAsia="lt-LT"/>
        </w:rPr>
        <w:t xml:space="preserve"> </w:t>
      </w:r>
      <w:r w:rsidRPr="002750E0">
        <w:rPr>
          <w:rFonts w:ascii="Cambria" w:eastAsia="Calibri" w:hAnsi="Cambria"/>
          <w:bCs/>
          <w:szCs w:val="22"/>
          <w:lang w:eastAsia="lt-LT"/>
        </w:rPr>
        <w:t>It is recommended to have a more detailed tracking system for graduates, which would also include the necessity of the learning outcomes in their jobs.</w:t>
      </w:r>
    </w:p>
    <w:p w14:paraId="341572B4" w14:textId="75EECA64" w:rsidR="00B45946" w:rsidRPr="002750E0" w:rsidRDefault="00B45946" w:rsidP="002750E0">
      <w:pPr>
        <w:spacing w:after="200"/>
        <w:jc w:val="both"/>
        <w:rPr>
          <w:rFonts w:ascii="Cambria" w:eastAsia="Calibri" w:hAnsi="Cambria"/>
          <w:bCs/>
          <w:szCs w:val="22"/>
          <w:lang w:eastAsia="lt-LT"/>
        </w:rPr>
      </w:pPr>
      <w:r w:rsidRPr="002750E0">
        <w:rPr>
          <w:rFonts w:ascii="Cambria" w:eastAsia="Calibri" w:hAnsi="Cambria"/>
          <w:bCs/>
          <w:szCs w:val="22"/>
          <w:lang w:eastAsia="lt-LT"/>
        </w:rPr>
        <w:t>3. It is recommended to review quality standards set for research by including quality criteria for the research output. Interdisciplinary research might help with the benchmarking during that process and is strongly recommended.</w:t>
      </w:r>
    </w:p>
    <w:p w14:paraId="341572B6" w14:textId="742BCCCE" w:rsidR="00B45946" w:rsidRPr="002750E0" w:rsidRDefault="00B45946" w:rsidP="00863B63">
      <w:pPr>
        <w:jc w:val="both"/>
        <w:rPr>
          <w:rFonts w:ascii="Cambria" w:eastAsia="Calibri" w:hAnsi="Cambria"/>
          <w:bCs/>
          <w:szCs w:val="22"/>
          <w:lang w:eastAsia="lt-LT"/>
        </w:rPr>
      </w:pPr>
      <w:r w:rsidRPr="002750E0">
        <w:rPr>
          <w:rFonts w:ascii="Cambria" w:eastAsia="Calibri" w:hAnsi="Cambria"/>
          <w:bCs/>
          <w:szCs w:val="22"/>
          <w:lang w:eastAsia="lt-LT"/>
        </w:rPr>
        <w:t>4. It is recommended to support teaching staff in facilitating more professional development in terms of industrial ex</w:t>
      </w:r>
      <w:r w:rsidR="00703450">
        <w:rPr>
          <w:rFonts w:ascii="Cambria" w:eastAsia="Calibri" w:hAnsi="Cambria"/>
          <w:bCs/>
          <w:szCs w:val="22"/>
          <w:lang w:eastAsia="lt-LT"/>
        </w:rPr>
        <w:t>periences on a regular basis.</w:t>
      </w:r>
    </w:p>
    <w:p w14:paraId="341572B7" w14:textId="77777777" w:rsidR="00B45946" w:rsidRPr="00863B63" w:rsidRDefault="00B45946" w:rsidP="00863B63">
      <w:pPr>
        <w:keepNext/>
        <w:keepLines/>
        <w:tabs>
          <w:tab w:val="left" w:pos="680"/>
        </w:tabs>
        <w:ind w:left="357"/>
        <w:jc w:val="center"/>
        <w:outlineLvl w:val="1"/>
        <w:rPr>
          <w:rFonts w:ascii="Cambria" w:hAnsi="Cambria"/>
          <w:b/>
          <w:bCs/>
          <w:caps/>
          <w:color w:val="136C73"/>
          <w:szCs w:val="26"/>
          <w:lang w:val="lt-LT" w:eastAsia="lt-LT"/>
        </w:rPr>
      </w:pPr>
      <w:bookmarkStart w:id="4" w:name="_Toc57129362"/>
    </w:p>
    <w:p w14:paraId="341572B9" w14:textId="364F4DC6" w:rsidR="00B45946" w:rsidRPr="002750E0" w:rsidRDefault="00B45946" w:rsidP="00863B63">
      <w:pPr>
        <w:keepNext/>
        <w:keepLines/>
        <w:tabs>
          <w:tab w:val="left" w:pos="680"/>
        </w:tabs>
        <w:spacing w:before="240" w:after="240"/>
        <w:ind w:left="357"/>
        <w:jc w:val="center"/>
        <w:outlineLvl w:val="1"/>
        <w:rPr>
          <w:rFonts w:ascii="Cambria" w:hAnsi="Cambria"/>
          <w:b/>
          <w:bCs/>
          <w:caps/>
          <w:color w:val="136C73"/>
          <w:sz w:val="36"/>
          <w:szCs w:val="26"/>
          <w:lang w:val="lt-LT" w:eastAsia="lt-LT"/>
        </w:rPr>
      </w:pPr>
      <w:r w:rsidRPr="00677F9A">
        <w:rPr>
          <w:rFonts w:ascii="Cambria" w:hAnsi="Cambria"/>
          <w:b/>
          <w:bCs/>
          <w:caps/>
          <w:color w:val="136C73"/>
          <w:sz w:val="36"/>
          <w:szCs w:val="26"/>
          <w:lang w:val="lt-LT" w:eastAsia="lt-LT"/>
        </w:rPr>
        <w:t>VI. SUMMARY</w:t>
      </w:r>
      <w:bookmarkEnd w:id="4"/>
    </w:p>
    <w:p w14:paraId="341572BA"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 xml:space="preserve">Generally, the aims and outcomes of the Transport Engineering Bachelor and Master </w:t>
      </w:r>
      <w:proofErr w:type="gramStart"/>
      <w:r w:rsidRPr="002750E0">
        <w:rPr>
          <w:rFonts w:ascii="Cambria" w:eastAsia="Calibri" w:hAnsi="Cambria"/>
          <w:szCs w:val="22"/>
          <w:lang w:eastAsia="lt-LT"/>
        </w:rPr>
        <w:t>study</w:t>
      </w:r>
      <w:proofErr w:type="gramEnd"/>
      <w:r w:rsidRPr="002750E0">
        <w:rPr>
          <w:rFonts w:ascii="Cambria" w:eastAsia="Calibri" w:hAnsi="Cambria"/>
          <w:szCs w:val="22"/>
          <w:lang w:eastAsia="lt-LT"/>
        </w:rPr>
        <w:t xml:space="preserve"> programmes are in conformity to the needs of the society and the labour market. They are also in conformity with the objectives and the mission of VGTU.</w:t>
      </w:r>
    </w:p>
    <w:p w14:paraId="341572BB"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The recommendations of the last external evaluation related to aims, outcomes and content have been implemented. The learning outcomes have been included into course descriptions. The relationships between the outcomes of the courses and the programme have been clearly substantiated and interlinked. The distinction between Transport Engineering taught and researched in the Faculty and transport-oriented programmes in other Faculties (Environmental Engineering, Civil Engineering) is explained plausibly.</w:t>
      </w:r>
    </w:p>
    <w:p w14:paraId="341572BC"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 xml:space="preserve">The Bachelor and Master Transport Engineering study programmes ensure consistent development of the competences of students. The bridging courses on offer are a good measure to support the students to meet the requirements of the programme and improve dropout rates. </w:t>
      </w:r>
    </w:p>
    <w:p w14:paraId="341572BD"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As the dropout rate is still high in the first cycle of studies, the experts suggest an improvement of counselling services.</w:t>
      </w:r>
    </w:p>
    <w:p w14:paraId="341572BE"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Since many programmes still show classic learning outcomes, it is recommended to review the learning outcomes with a view on updating them to new developments.</w:t>
      </w:r>
    </w:p>
    <w:p w14:paraId="341572BF"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 xml:space="preserve">The Bachelor and Master </w:t>
      </w:r>
      <w:proofErr w:type="gramStart"/>
      <w:r w:rsidRPr="002750E0">
        <w:rPr>
          <w:rFonts w:ascii="Cambria" w:eastAsia="Calibri" w:hAnsi="Cambria"/>
          <w:szCs w:val="22"/>
          <w:lang w:eastAsia="lt-LT"/>
        </w:rPr>
        <w:t>degree</w:t>
      </w:r>
      <w:proofErr w:type="gramEnd"/>
      <w:r w:rsidRPr="002750E0">
        <w:rPr>
          <w:rFonts w:ascii="Cambria" w:eastAsia="Calibri" w:hAnsi="Cambria"/>
          <w:szCs w:val="22"/>
          <w:lang w:eastAsia="lt-LT"/>
        </w:rPr>
        <w:t xml:space="preserve"> final theses are generally of good quality. However, since there are some exceptions additional measures should be taken to ensure more uniform quality mainly of the master degree’s final theses in particular.</w:t>
      </w:r>
    </w:p>
    <w:p w14:paraId="341572C0" w14:textId="77777777" w:rsidR="00B45946" w:rsidRPr="002750E0" w:rsidRDefault="00B45946" w:rsidP="00863B63">
      <w:pPr>
        <w:spacing w:after="200"/>
        <w:jc w:val="both"/>
        <w:rPr>
          <w:rFonts w:ascii="Cambria" w:eastAsia="Calibri" w:hAnsi="Cambria"/>
          <w:szCs w:val="22"/>
          <w:lang w:eastAsia="lt-LT"/>
        </w:rPr>
      </w:pPr>
      <w:proofErr w:type="gramStart"/>
      <w:r w:rsidRPr="002750E0">
        <w:rPr>
          <w:rFonts w:ascii="Cambria" w:eastAsia="Calibri" w:hAnsi="Cambria"/>
          <w:szCs w:val="22"/>
          <w:lang w:eastAsia="lt-LT"/>
        </w:rPr>
        <w:lastRenderedPageBreak/>
        <w:t>Though</w:t>
      </w:r>
      <w:proofErr w:type="gramEnd"/>
      <w:r w:rsidRPr="002750E0">
        <w:rPr>
          <w:rFonts w:ascii="Cambria" w:eastAsia="Calibri" w:hAnsi="Cambria"/>
          <w:szCs w:val="22"/>
          <w:lang w:eastAsia="lt-LT"/>
        </w:rPr>
        <w:t xml:space="preserve"> the Faculty explicitly emphasises scientific research and critical thinking, that aspect does not appear prominently in the 1st study cycle. In particular, more multi-disciplinary projects should be conducted.</w:t>
      </w:r>
    </w:p>
    <w:p w14:paraId="341572C1"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The in-house research conferences get students involved in presenting their thesis papers, mainly those of the 2nd study cycle. This seems to be a very effective practice and may help the numbers of students who conduct research and attend conferences rise. Attracting funding for students to engage them in research activities (internship, involvement in projects etc.) should also help.</w:t>
      </w:r>
    </w:p>
    <w:p w14:paraId="341572C2"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 xml:space="preserve">The staff of the Faculty are active in ERASMUS programmes and visit foreign Universities on a regular basis. They also participate in EU research projects and partners are invited for guest lectures. However, even more foreign professors and researchers for courses and research works should be invited. </w:t>
      </w:r>
    </w:p>
    <w:p w14:paraId="341572C3"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 xml:space="preserve">There is a slight drop of outgoing students during the past three years for Erasmus+ mobility, while no students applied for DAAD </w:t>
      </w:r>
      <w:proofErr w:type="spellStart"/>
      <w:r w:rsidRPr="002750E0">
        <w:rPr>
          <w:rFonts w:ascii="Cambria" w:eastAsia="Calibri" w:hAnsi="Cambria"/>
          <w:szCs w:val="22"/>
          <w:lang w:eastAsia="lt-LT"/>
        </w:rPr>
        <w:t>mobilities</w:t>
      </w:r>
      <w:proofErr w:type="spellEnd"/>
      <w:r w:rsidRPr="002750E0">
        <w:rPr>
          <w:rFonts w:ascii="Cambria" w:eastAsia="Calibri" w:hAnsi="Cambria"/>
          <w:szCs w:val="22"/>
          <w:lang w:eastAsia="lt-LT"/>
        </w:rPr>
        <w:t xml:space="preserve"> in 2019. This development suggests that there might be a lack of advertising for mobility among students.</w:t>
      </w:r>
    </w:p>
    <w:p w14:paraId="341572C4"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For achieving a sufficient number of research projects it is necessary to enhance international collaboration for academic activities. In future the SER can be improved by including the review of quality standards set for research output.</w:t>
      </w:r>
    </w:p>
    <w:p w14:paraId="341572C5"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The cooperation with social partners is good and the active involvement in the allocation of practice placements is successful and useful to the students. Industry cooperation, however, needs improvement. The university will be trying to take the initiative to find closer collaboration with industry partners.</w:t>
      </w:r>
    </w:p>
    <w:p w14:paraId="341572C6"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Not all students seemed to agree that the surveys should be obligatory, as they currently are. Sometimes, just when students need to check their exam grades or to do something urgent in the system, the requirement to fill in the survey appears. Students tend to be annoyed by this, which might influence the results in a negative way.</w:t>
      </w:r>
    </w:p>
    <w:p w14:paraId="341572C7"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In general, though, Students are satisfied with the feedback they get from the university. The opinion of the current Bachelor students supports the expert panel’s impression of a well-functioning and responsive quality-assurance system. Additionally, teachers offer feedback opportunities and individual consultation, both of which is good scientific and management practice.</w:t>
      </w:r>
    </w:p>
    <w:p w14:paraId="341572C9" w14:textId="1B6773E8"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On balance, the experts are convinced that the quality assessment system of the faculty is already very sophisticated and that deficits which are identified are dealt with quickly and competently.</w:t>
      </w:r>
    </w:p>
    <w:p w14:paraId="341572CA"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One problem is that lectures take place at three campuses in different parts of the city. This complicates the study process for students and teachers. The plans for establishing all facilities in one place are therefore welcome and necessary.</w:t>
      </w:r>
    </w:p>
    <w:p w14:paraId="341572CB" w14:textId="77777777" w:rsidR="00B45946" w:rsidRPr="002750E0" w:rsidRDefault="00B45946" w:rsidP="00863B63">
      <w:pPr>
        <w:spacing w:after="200"/>
        <w:jc w:val="both"/>
        <w:rPr>
          <w:rFonts w:ascii="Cambria" w:eastAsia="Calibri" w:hAnsi="Cambria"/>
          <w:szCs w:val="22"/>
          <w:lang w:eastAsia="lt-LT"/>
        </w:rPr>
      </w:pPr>
      <w:r w:rsidRPr="002750E0">
        <w:rPr>
          <w:rFonts w:ascii="Cambria" w:eastAsia="Calibri" w:hAnsi="Cambria"/>
          <w:szCs w:val="22"/>
          <w:lang w:eastAsia="lt-LT"/>
        </w:rPr>
        <w:t>The Faculty fulfils the requirements for carrying out the programme in the English language. This aspect is particularly important for the expected students from China. Organising the programme for them is bound to be a challenge, and the next evaluation should direct detailed attention on that future programme.</w:t>
      </w:r>
    </w:p>
    <w:p w14:paraId="341572CC" w14:textId="77777777" w:rsidR="00B45946" w:rsidRPr="0042467A" w:rsidRDefault="00B45946" w:rsidP="00B45946">
      <w:pPr>
        <w:jc w:val="center"/>
        <w:rPr>
          <w:lang w:val="lt-LT"/>
        </w:rPr>
      </w:pPr>
      <w:r w:rsidRPr="0042467A">
        <w:rPr>
          <w:lang w:val="lt-LT"/>
        </w:rPr>
        <w:t>_______________</w:t>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t>_____________</w:t>
      </w:r>
    </w:p>
    <w:p w14:paraId="341572CD" w14:textId="77777777" w:rsidR="00B45946" w:rsidRDefault="00B45946" w:rsidP="00B45946">
      <w:pPr>
        <w:spacing w:after="200" w:line="276" w:lineRule="auto"/>
        <w:jc w:val="both"/>
        <w:rPr>
          <w:rFonts w:ascii="Cambria" w:eastAsia="Calibri" w:hAnsi="Cambria"/>
          <w:color w:val="000000"/>
          <w:szCs w:val="22"/>
          <w:lang w:eastAsia="lt-LT"/>
        </w:rPr>
      </w:pPr>
    </w:p>
    <w:p w14:paraId="341572CE" w14:textId="77777777" w:rsidR="00B45946" w:rsidRDefault="00B45946" w:rsidP="00B45946">
      <w:pPr>
        <w:spacing w:after="200" w:line="276" w:lineRule="auto"/>
        <w:rPr>
          <w:rFonts w:ascii="Cambria" w:eastAsia="Calibri" w:hAnsi="Cambria"/>
          <w:b/>
          <w:bCs/>
          <w:color w:val="800000"/>
          <w:szCs w:val="22"/>
          <w:lang w:val="lt-LT" w:eastAsia="lt-LT"/>
        </w:rPr>
        <w:sectPr w:rsidR="00B45946" w:rsidSect="0042467A">
          <w:pgSz w:w="11906" w:h="16838"/>
          <w:pgMar w:top="993" w:right="567" w:bottom="426" w:left="1560" w:header="567" w:footer="567" w:gutter="0"/>
          <w:cols w:space="1296"/>
          <w:docGrid w:linePitch="360"/>
        </w:sectPr>
      </w:pPr>
      <w:bookmarkStart w:id="5" w:name="_4._GENERAL_ASSESSMENT"/>
      <w:bookmarkEnd w:id="5"/>
    </w:p>
    <w:p w14:paraId="341572CF" w14:textId="77777777" w:rsidR="00B45946" w:rsidRPr="00C5787E" w:rsidRDefault="00B45946" w:rsidP="00B45946">
      <w:pPr>
        <w:jc w:val="right"/>
        <w:rPr>
          <w:lang w:val="lt-LT"/>
        </w:rPr>
      </w:pPr>
      <w:r w:rsidRPr="00C5787E">
        <w:rPr>
          <w:b/>
          <w:lang w:val="lt-LT"/>
        </w:rPr>
        <w:lastRenderedPageBreak/>
        <w:t>Vertimas iš anglų kalbos</w:t>
      </w:r>
    </w:p>
    <w:p w14:paraId="341572D0" w14:textId="77777777" w:rsidR="00B45946" w:rsidRPr="00C5787E" w:rsidRDefault="00B45946" w:rsidP="00B45946">
      <w:pPr>
        <w:jc w:val="center"/>
        <w:rPr>
          <w:b/>
          <w:caps/>
          <w:lang w:val="lt-LT"/>
        </w:rPr>
      </w:pPr>
    </w:p>
    <w:p w14:paraId="341572D1" w14:textId="7A223458" w:rsidR="00B45946" w:rsidRPr="00C5787E" w:rsidRDefault="00B45946" w:rsidP="00B45946">
      <w:pPr>
        <w:jc w:val="center"/>
        <w:rPr>
          <w:b/>
          <w:caps/>
          <w:lang w:val="lt-LT"/>
        </w:rPr>
      </w:pPr>
      <w:r>
        <w:rPr>
          <w:b/>
          <w:caps/>
          <w:lang w:val="lt-LT"/>
        </w:rPr>
        <w:t>VILNIAUS GEDIMINO TECHNIKOS UNIVERSITETO  TRANSPORTO INŽINERIJOS krypties</w:t>
      </w:r>
      <w:r w:rsidRPr="00C5787E">
        <w:rPr>
          <w:b/>
          <w:caps/>
          <w:lang w:val="lt-LT"/>
        </w:rPr>
        <w:t xml:space="preserve"> studijų </w:t>
      </w:r>
      <w:r>
        <w:rPr>
          <w:b/>
          <w:caps/>
          <w:lang w:val="lt-LT"/>
        </w:rPr>
        <w:t xml:space="preserve">2021 </w:t>
      </w:r>
      <w:r w:rsidR="00414C76">
        <w:rPr>
          <w:b/>
          <w:caps/>
          <w:lang w:val="lt-LT"/>
        </w:rPr>
        <w:t xml:space="preserve">M. </w:t>
      </w:r>
      <w:r>
        <w:rPr>
          <w:b/>
          <w:caps/>
          <w:lang w:val="lt-LT"/>
        </w:rPr>
        <w:t xml:space="preserve">VASARIO 9 D. </w:t>
      </w:r>
      <w:r w:rsidRPr="00C5787E">
        <w:rPr>
          <w:b/>
          <w:caps/>
          <w:lang w:val="lt-LT"/>
        </w:rPr>
        <w:t xml:space="preserve">ekspertinio vertinimo išvadų NR. </w:t>
      </w:r>
      <w:r>
        <w:rPr>
          <w:b/>
          <w:lang w:val="lt-LT"/>
        </w:rPr>
        <w:t xml:space="preserve">SV4-18 </w:t>
      </w:r>
      <w:r w:rsidRPr="00C5787E">
        <w:rPr>
          <w:b/>
          <w:caps/>
          <w:lang w:val="lt-LT"/>
        </w:rPr>
        <w:t>IŠRAŠAS</w:t>
      </w:r>
    </w:p>
    <w:p w14:paraId="341572D2" w14:textId="77777777" w:rsidR="00B45946" w:rsidRPr="0042467A" w:rsidRDefault="00B45946" w:rsidP="00B45946">
      <w:pPr>
        <w:rPr>
          <w:caps/>
          <w:sz w:val="16"/>
          <w:lang w:val="lt-LT"/>
        </w:rPr>
      </w:pPr>
    </w:p>
    <w:p w14:paraId="341572D3" w14:textId="77777777" w:rsidR="00B45946" w:rsidRPr="00677F9A" w:rsidRDefault="00B45946" w:rsidP="00B45946">
      <w:pPr>
        <w:spacing w:after="200" w:line="276" w:lineRule="auto"/>
        <w:jc w:val="center"/>
        <w:rPr>
          <w:rFonts w:ascii="Cambria" w:eastAsia="Calibri" w:hAnsi="Cambria"/>
          <w:i/>
          <w:sz w:val="36"/>
          <w:szCs w:val="36"/>
          <w:lang w:val="lt-LT" w:eastAsia="lt-LT"/>
        </w:rPr>
      </w:pPr>
      <w:r w:rsidRPr="00677F9A">
        <w:rPr>
          <w:rFonts w:ascii="Calibri" w:eastAsia="Calibri" w:hAnsi="Calibri"/>
          <w:i/>
          <w:noProof/>
          <w:sz w:val="36"/>
          <w:szCs w:val="36"/>
          <w:lang w:val="lt-LT" w:eastAsia="lt-LT"/>
        </w:rPr>
        <w:drawing>
          <wp:inline distT="0" distB="0" distL="0" distR="0" wp14:anchorId="341573AA" wp14:editId="341573AB">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341572D4" w14:textId="77777777" w:rsidR="00B45946" w:rsidRPr="00677F9A" w:rsidRDefault="00B45946" w:rsidP="00B45946">
      <w:pPr>
        <w:spacing w:after="200"/>
        <w:jc w:val="center"/>
        <w:rPr>
          <w:rFonts w:ascii="Cambria" w:eastAsia="Calibri" w:hAnsi="Cambria"/>
          <w:color w:val="136C73"/>
          <w:sz w:val="28"/>
          <w:szCs w:val="28"/>
          <w:lang w:val="lt-LT" w:eastAsia="lt-LT"/>
        </w:rPr>
      </w:pPr>
      <w:r w:rsidRPr="00677F9A">
        <w:rPr>
          <w:rFonts w:ascii="Cambria" w:eastAsia="Calibri" w:hAnsi="Cambria"/>
          <w:color w:val="136C73"/>
          <w:sz w:val="28"/>
          <w:szCs w:val="28"/>
          <w:lang w:val="lt-LT" w:eastAsia="lt-LT"/>
        </w:rPr>
        <w:t>STUDIJŲ KOKYBĖS VERTINIMO CENTRAS</w:t>
      </w:r>
    </w:p>
    <w:p w14:paraId="341572D5" w14:textId="77777777" w:rsidR="00B45946" w:rsidRPr="00677F9A" w:rsidRDefault="00B45946" w:rsidP="00B45946">
      <w:pPr>
        <w:spacing w:after="200"/>
        <w:rPr>
          <w:rFonts w:ascii="Cambria" w:eastAsia="Calibri" w:hAnsi="Cambria"/>
          <w:color w:val="136C73"/>
          <w:szCs w:val="22"/>
          <w:lang w:val="lt-LT" w:eastAsia="lt-LT"/>
        </w:rPr>
      </w:pPr>
    </w:p>
    <w:p w14:paraId="341572D6" w14:textId="77777777" w:rsidR="00B45946" w:rsidRPr="00677F9A" w:rsidRDefault="00B45946" w:rsidP="00B45946">
      <w:pPr>
        <w:spacing w:after="200"/>
        <w:jc w:val="center"/>
        <w:rPr>
          <w:rFonts w:ascii="Cambria" w:eastAsia="Calibri" w:hAnsi="Cambria"/>
          <w:color w:val="136C73"/>
          <w:sz w:val="28"/>
          <w:szCs w:val="28"/>
          <w:lang w:val="lt-LT" w:eastAsia="lt-LT"/>
        </w:rPr>
      </w:pPr>
      <w:r>
        <w:rPr>
          <w:rFonts w:ascii="Cambria" w:eastAsia="Calibri" w:hAnsi="Cambria"/>
          <w:color w:val="136C73"/>
          <w:sz w:val="28"/>
          <w:szCs w:val="28"/>
          <w:lang w:val="lt-LT" w:eastAsia="lt-LT"/>
        </w:rPr>
        <w:t>VILNIAUS GEDIMINO TECHNIKOS UNIVERSITETAS</w:t>
      </w:r>
    </w:p>
    <w:p w14:paraId="341572D7" w14:textId="77777777" w:rsidR="00B45946" w:rsidRPr="00677F9A" w:rsidRDefault="00B45946" w:rsidP="00B45946">
      <w:pPr>
        <w:spacing w:after="200"/>
        <w:jc w:val="center"/>
        <w:rPr>
          <w:rFonts w:ascii="Cambria" w:eastAsia="Calibri" w:hAnsi="Cambria"/>
          <w:b/>
          <w:color w:val="136C73"/>
          <w:sz w:val="28"/>
          <w:szCs w:val="28"/>
          <w:lang w:val="lt-LT" w:eastAsia="lt-LT"/>
        </w:rPr>
      </w:pPr>
      <w:r w:rsidRPr="00677F9A">
        <w:rPr>
          <w:rFonts w:ascii="Cambria" w:eastAsia="Calibri" w:hAnsi="Cambria"/>
          <w:b/>
          <w:color w:val="136C73"/>
          <w:sz w:val="28"/>
          <w:szCs w:val="28"/>
          <w:lang w:val="lt-LT" w:eastAsia="lt-LT"/>
        </w:rPr>
        <w:t xml:space="preserve">STUDIJŲ KRYPTIS </w:t>
      </w:r>
      <w:r>
        <w:rPr>
          <w:rFonts w:ascii="Cambria" w:eastAsia="Calibri" w:hAnsi="Cambria"/>
          <w:b/>
          <w:color w:val="136C73"/>
          <w:sz w:val="28"/>
          <w:szCs w:val="28"/>
          <w:lang w:val="lt-LT" w:eastAsia="lt-LT"/>
        </w:rPr>
        <w:t>TRANSPORTO INŽINERIJA</w:t>
      </w:r>
    </w:p>
    <w:p w14:paraId="341572D8" w14:textId="77777777" w:rsidR="00B45946" w:rsidRPr="00677F9A" w:rsidRDefault="00B45946" w:rsidP="00B45946">
      <w:pPr>
        <w:spacing w:after="200"/>
        <w:jc w:val="center"/>
        <w:rPr>
          <w:rFonts w:ascii="Cambria" w:eastAsia="Calibri" w:hAnsi="Cambria"/>
          <w:b/>
          <w:bCs/>
          <w:color w:val="136C73"/>
          <w:sz w:val="28"/>
          <w:szCs w:val="28"/>
          <w:lang w:val="lt-LT" w:eastAsia="lt-LT"/>
        </w:rPr>
      </w:pPr>
      <w:r w:rsidRPr="00677F9A">
        <w:rPr>
          <w:rFonts w:ascii="Cambria" w:eastAsia="Calibri" w:hAnsi="Cambria"/>
          <w:b/>
          <w:color w:val="136C73"/>
          <w:sz w:val="28"/>
          <w:szCs w:val="28"/>
          <w:lang w:val="lt-LT" w:eastAsia="lt-LT"/>
        </w:rPr>
        <w:t xml:space="preserve">VERTINIMO </w:t>
      </w:r>
      <w:r w:rsidRPr="00677F9A">
        <w:rPr>
          <w:rFonts w:ascii="Cambria" w:eastAsia="Calibri" w:hAnsi="Cambria"/>
          <w:b/>
          <w:bCs/>
          <w:color w:val="136C73"/>
          <w:sz w:val="28"/>
          <w:szCs w:val="28"/>
          <w:lang w:val="lt-LT" w:eastAsia="lt-LT"/>
        </w:rPr>
        <w:t>IŠVADOS</w:t>
      </w:r>
    </w:p>
    <w:p w14:paraId="341572D9" w14:textId="77777777" w:rsidR="00B45946" w:rsidRPr="00677F9A" w:rsidRDefault="00B45946" w:rsidP="00B45946">
      <w:pPr>
        <w:spacing w:after="200" w:line="276" w:lineRule="auto"/>
        <w:jc w:val="center"/>
        <w:rPr>
          <w:rFonts w:ascii="Cambria" w:eastAsia="Calibri" w:hAnsi="Cambria"/>
          <w:sz w:val="36"/>
          <w:szCs w:val="36"/>
          <w:lang w:val="lt-LT"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B45946" w:rsidRPr="00677F9A" w14:paraId="341572E4" w14:textId="77777777" w:rsidTr="0066612B">
        <w:trPr>
          <w:trHeight w:val="3968"/>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341572DA" w14:textId="77777777" w:rsidR="00B45946" w:rsidRDefault="00B45946" w:rsidP="00414C76">
            <w:pPr>
              <w:tabs>
                <w:tab w:val="left" w:pos="0"/>
              </w:tabs>
              <w:spacing w:before="120"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 xml:space="preserve">Ekspertų grupė: </w:t>
            </w:r>
          </w:p>
          <w:p w14:paraId="341572DB" w14:textId="77777777" w:rsidR="00B45946" w:rsidRPr="00677F9A" w:rsidRDefault="00B45946" w:rsidP="0066612B">
            <w:pPr>
              <w:tabs>
                <w:tab w:val="left" w:pos="0"/>
              </w:tabs>
              <w:spacing w:line="276" w:lineRule="auto"/>
              <w:rPr>
                <w:rFonts w:ascii="Cambria" w:eastAsia="Calibri" w:hAnsi="Cambria"/>
                <w:b/>
                <w:color w:val="FFFFFF"/>
                <w:szCs w:val="22"/>
                <w:lang w:val="lt-LT" w:eastAsia="lt-LT"/>
              </w:rPr>
            </w:pPr>
          </w:p>
          <w:p w14:paraId="341572DC" w14:textId="77777777" w:rsidR="00B45946" w:rsidRPr="00677F9A" w:rsidRDefault="00B45946" w:rsidP="0066612B">
            <w:pPr>
              <w:tabs>
                <w:tab w:val="left" w:pos="0"/>
              </w:tabs>
              <w:spacing w:line="360" w:lineRule="auto"/>
              <w:rPr>
                <w:rFonts w:ascii="Cambria" w:eastAsia="Calibri" w:hAnsi="Cambria"/>
                <w:b/>
                <w:color w:val="FFFFFF"/>
                <w:szCs w:val="22"/>
                <w:lang w:val="lt-LT" w:eastAsia="lt-LT"/>
              </w:rPr>
            </w:pPr>
            <w:r w:rsidRPr="003538E2">
              <w:rPr>
                <w:rFonts w:ascii="Cambria" w:eastAsia="Calibri" w:hAnsi="Cambria"/>
                <w:b/>
                <w:color w:val="FFFFFF"/>
                <w:szCs w:val="22"/>
                <w:lang w:val="lt-LT" w:eastAsia="lt-LT"/>
              </w:rPr>
              <w:t>Prof. Dr.-Ing. Haldor E. Jochim</w:t>
            </w:r>
            <w:r w:rsidRPr="00677F9A">
              <w:rPr>
                <w:rFonts w:ascii="Cambria" w:eastAsia="Calibri" w:hAnsi="Cambria"/>
                <w:b/>
                <w:color w:val="FFFFFF"/>
                <w:szCs w:val="22"/>
                <w:lang w:val="lt-LT" w:eastAsia="lt-LT"/>
              </w:rPr>
              <w:t xml:space="preserve"> (vadovas) </w:t>
            </w:r>
            <w:r w:rsidRPr="00677F9A">
              <w:rPr>
                <w:rFonts w:ascii="Cambria" w:eastAsia="Calibri" w:hAnsi="Cambria"/>
                <w:i/>
                <w:color w:val="FFFFFF"/>
                <w:szCs w:val="22"/>
                <w:lang w:val="lt-LT" w:eastAsia="lt-LT"/>
              </w:rPr>
              <w:t>akademinės bendruomenės atstovas,</w:t>
            </w:r>
          </w:p>
          <w:p w14:paraId="341572DD" w14:textId="77777777" w:rsidR="00B45946" w:rsidRDefault="00B45946" w:rsidP="0066612B">
            <w:pPr>
              <w:tabs>
                <w:tab w:val="left" w:pos="0"/>
              </w:tabs>
              <w:spacing w:line="360" w:lineRule="auto"/>
              <w:rPr>
                <w:rFonts w:ascii="Cambria" w:eastAsia="Calibri" w:hAnsi="Cambria"/>
                <w:b/>
                <w:color w:val="FFFFFF"/>
                <w:szCs w:val="22"/>
                <w:lang w:val="lt-LT" w:eastAsia="lt-LT"/>
              </w:rPr>
            </w:pPr>
            <w:r w:rsidRPr="003538E2">
              <w:rPr>
                <w:rFonts w:ascii="Cambria" w:eastAsia="Calibri" w:hAnsi="Cambria"/>
                <w:b/>
                <w:color w:val="FFFFFF"/>
                <w:szCs w:val="22"/>
                <w:lang w:val="lt-LT" w:eastAsia="lt-LT"/>
              </w:rPr>
              <w:t>Prof., Dr.</w:t>
            </w:r>
            <w:r>
              <w:rPr>
                <w:rFonts w:ascii="Cambria" w:eastAsia="Calibri" w:hAnsi="Cambria"/>
                <w:b/>
                <w:color w:val="FFFFFF"/>
                <w:szCs w:val="22"/>
                <w:lang w:val="lt-LT" w:eastAsia="lt-LT"/>
              </w:rPr>
              <w:t>Sc.Eng. Irina Jackiva (Yatskiv)</w:t>
            </w:r>
            <w:r w:rsidRPr="00677F9A">
              <w:rPr>
                <w:rFonts w:ascii="Cambria" w:eastAsia="Calibri" w:hAnsi="Cambria"/>
                <w:b/>
                <w:color w:val="FFFFFF"/>
                <w:szCs w:val="22"/>
                <w:lang w:val="lt-LT" w:eastAsia="lt-LT"/>
              </w:rPr>
              <w:t>,</w:t>
            </w:r>
            <w:r w:rsidRPr="00677F9A">
              <w:rPr>
                <w:rFonts w:ascii="Cambria" w:eastAsia="Calibri" w:hAnsi="Cambria"/>
                <w:i/>
                <w:color w:val="FFFFFF"/>
                <w:szCs w:val="22"/>
                <w:lang w:val="lt-LT" w:eastAsia="lt-LT"/>
              </w:rPr>
              <w:t xml:space="preserve"> akademinės bendruomenės atstovas,</w:t>
            </w:r>
          </w:p>
          <w:p w14:paraId="341572DE" w14:textId="77777777" w:rsidR="00B45946" w:rsidRPr="00677F9A" w:rsidRDefault="00B45946" w:rsidP="0066612B">
            <w:pPr>
              <w:tabs>
                <w:tab w:val="left" w:pos="0"/>
              </w:tabs>
              <w:spacing w:line="360" w:lineRule="auto"/>
              <w:rPr>
                <w:rFonts w:ascii="Cambria" w:eastAsia="Calibri" w:hAnsi="Cambria"/>
                <w:b/>
                <w:color w:val="FFFFFF"/>
                <w:szCs w:val="22"/>
                <w:lang w:val="lt-LT" w:eastAsia="lt-LT"/>
              </w:rPr>
            </w:pPr>
            <w:r>
              <w:rPr>
                <w:rFonts w:ascii="Cambria" w:eastAsia="Calibri" w:hAnsi="Cambria"/>
                <w:b/>
                <w:color w:val="FFFFFF"/>
                <w:szCs w:val="22"/>
                <w:lang w:val="lt-LT" w:eastAsia="lt-LT"/>
              </w:rPr>
              <w:t>Doc</w:t>
            </w:r>
            <w:r w:rsidRPr="003538E2">
              <w:rPr>
                <w:rFonts w:ascii="Cambria" w:eastAsia="Calibri" w:hAnsi="Cambria"/>
                <w:b/>
                <w:color w:val="FFFFFF"/>
                <w:szCs w:val="22"/>
                <w:lang w:val="lt-LT" w:eastAsia="lt-LT"/>
              </w:rPr>
              <w:t>. Dr. Vasilij Djačkov</w:t>
            </w:r>
            <w:r w:rsidRPr="00677F9A">
              <w:rPr>
                <w:rFonts w:ascii="Cambria" w:eastAsia="Calibri" w:hAnsi="Cambria"/>
                <w:b/>
                <w:color w:val="FFFFFF"/>
                <w:szCs w:val="22"/>
                <w:lang w:val="lt-LT" w:eastAsia="lt-LT"/>
              </w:rPr>
              <w:t>,</w:t>
            </w:r>
            <w:r w:rsidRPr="00677F9A">
              <w:rPr>
                <w:rFonts w:ascii="Cambria" w:eastAsia="Calibri" w:hAnsi="Cambria"/>
                <w:i/>
                <w:color w:val="FFFFFF"/>
                <w:szCs w:val="22"/>
                <w:lang w:val="lt-LT" w:eastAsia="lt-LT"/>
              </w:rPr>
              <w:t xml:space="preserve"> akademinės bendruomenės atstovas,</w:t>
            </w:r>
          </w:p>
          <w:p w14:paraId="341572DF" w14:textId="77777777" w:rsidR="00B45946" w:rsidRPr="00677F9A" w:rsidRDefault="00B45946" w:rsidP="00B45946">
            <w:pPr>
              <w:numPr>
                <w:ilvl w:val="0"/>
                <w:numId w:val="2"/>
              </w:numPr>
              <w:tabs>
                <w:tab w:val="left" w:pos="0"/>
              </w:tabs>
              <w:spacing w:line="360" w:lineRule="auto"/>
              <w:ind w:left="0"/>
              <w:rPr>
                <w:rFonts w:ascii="Cambria" w:eastAsia="Calibri" w:hAnsi="Cambria"/>
                <w:b/>
                <w:color w:val="FFFFFF"/>
                <w:szCs w:val="22"/>
                <w:lang w:val="lt-LT" w:eastAsia="lt-LT"/>
              </w:rPr>
            </w:pPr>
            <w:r>
              <w:rPr>
                <w:rFonts w:ascii="Cambria" w:eastAsia="Calibri" w:hAnsi="Cambria"/>
                <w:b/>
                <w:color w:val="FFFFFF"/>
                <w:szCs w:val="22"/>
                <w:lang w:val="lt-LT" w:eastAsia="lt-LT"/>
              </w:rPr>
              <w:t>Edmund Lisovski</w:t>
            </w:r>
            <w:r w:rsidRPr="00677F9A">
              <w:rPr>
                <w:rFonts w:ascii="Cambria" w:eastAsia="Calibri" w:hAnsi="Cambria"/>
                <w:b/>
                <w:color w:val="FFFFFF"/>
                <w:szCs w:val="22"/>
                <w:lang w:val="lt-LT" w:eastAsia="lt-LT"/>
              </w:rPr>
              <w:t xml:space="preserve">, </w:t>
            </w:r>
            <w:r w:rsidRPr="00677F9A">
              <w:rPr>
                <w:rFonts w:ascii="Cambria" w:eastAsia="Calibri" w:hAnsi="Cambria"/>
                <w:i/>
                <w:color w:val="FFFFFF"/>
                <w:szCs w:val="22"/>
                <w:lang w:val="lt-LT" w:eastAsia="lt-LT"/>
              </w:rPr>
              <w:t xml:space="preserve">darbdavių atstovas, </w:t>
            </w:r>
          </w:p>
          <w:p w14:paraId="341572E0" w14:textId="77777777" w:rsidR="00B45946" w:rsidRPr="00677F9A" w:rsidRDefault="00B45946" w:rsidP="00B45946">
            <w:pPr>
              <w:numPr>
                <w:ilvl w:val="0"/>
                <w:numId w:val="2"/>
              </w:numPr>
              <w:tabs>
                <w:tab w:val="left" w:pos="0"/>
              </w:tabs>
              <w:spacing w:line="360" w:lineRule="auto"/>
              <w:ind w:left="0"/>
              <w:rPr>
                <w:rFonts w:ascii="Cambria" w:eastAsia="Calibri" w:hAnsi="Cambria"/>
                <w:b/>
                <w:color w:val="FFFFFF"/>
                <w:szCs w:val="22"/>
                <w:lang w:val="lt-LT" w:eastAsia="lt-LT"/>
              </w:rPr>
            </w:pPr>
            <w:r>
              <w:rPr>
                <w:rFonts w:ascii="Cambria" w:eastAsia="Calibri" w:hAnsi="Cambria"/>
                <w:b/>
                <w:color w:val="FFFFFF"/>
                <w:szCs w:val="22"/>
                <w:lang w:val="lt-LT" w:eastAsia="lt-LT"/>
              </w:rPr>
              <w:t>Irina Duma</w:t>
            </w:r>
            <w:r w:rsidRPr="00677F9A">
              <w:rPr>
                <w:rFonts w:ascii="Cambria" w:eastAsia="Calibri" w:hAnsi="Cambria"/>
                <w:b/>
                <w:color w:val="FFFFFF"/>
                <w:szCs w:val="22"/>
                <w:lang w:val="lt-LT" w:eastAsia="lt-LT"/>
              </w:rPr>
              <w:t xml:space="preserve">, </w:t>
            </w:r>
            <w:r w:rsidRPr="00677F9A">
              <w:rPr>
                <w:rFonts w:ascii="Cambria" w:eastAsia="Calibri" w:hAnsi="Cambria"/>
                <w:i/>
                <w:color w:val="FFFFFF"/>
                <w:szCs w:val="22"/>
                <w:lang w:val="lt-LT" w:eastAsia="lt-LT"/>
              </w:rPr>
              <w:t>student</w:t>
            </w:r>
            <w:r>
              <w:rPr>
                <w:rFonts w:ascii="Cambria" w:eastAsia="Calibri" w:hAnsi="Cambria"/>
                <w:i/>
                <w:color w:val="FFFFFF"/>
                <w:szCs w:val="22"/>
                <w:lang w:val="lt-LT" w:eastAsia="lt-LT"/>
              </w:rPr>
              <w:t>ų</w:t>
            </w:r>
            <w:r w:rsidRPr="00677F9A">
              <w:rPr>
                <w:rFonts w:ascii="Cambria" w:eastAsia="Calibri" w:hAnsi="Cambria"/>
                <w:i/>
                <w:color w:val="FFFFFF"/>
                <w:szCs w:val="22"/>
                <w:lang w:val="lt-LT" w:eastAsia="lt-LT"/>
              </w:rPr>
              <w:t xml:space="preserve"> atstovas</w:t>
            </w:r>
            <w:r w:rsidRPr="00677F9A">
              <w:rPr>
                <w:rFonts w:ascii="Cambria" w:eastAsia="Calibri" w:hAnsi="Cambria"/>
                <w:color w:val="FFFFFF"/>
                <w:szCs w:val="22"/>
                <w:lang w:val="lt-LT" w:eastAsia="lt-LT"/>
              </w:rPr>
              <w:t>.</w:t>
            </w:r>
          </w:p>
          <w:p w14:paraId="341572E1" w14:textId="77777777" w:rsidR="00B45946" w:rsidRPr="00677F9A" w:rsidRDefault="00B45946" w:rsidP="0066612B">
            <w:pPr>
              <w:tabs>
                <w:tab w:val="left" w:pos="0"/>
              </w:tabs>
              <w:spacing w:line="276" w:lineRule="auto"/>
              <w:rPr>
                <w:rFonts w:ascii="Cambria" w:eastAsia="Calibri" w:hAnsi="Cambria"/>
                <w:b/>
                <w:color w:val="FFFFFF"/>
                <w:szCs w:val="22"/>
                <w:lang w:val="lt-LT" w:eastAsia="lt-LT"/>
              </w:rPr>
            </w:pPr>
          </w:p>
          <w:p w14:paraId="341572E2" w14:textId="77777777" w:rsidR="00B45946" w:rsidRPr="00677F9A" w:rsidRDefault="00B45946" w:rsidP="0066612B">
            <w:pPr>
              <w:tabs>
                <w:tab w:val="left" w:pos="0"/>
              </w:tabs>
              <w:spacing w:line="276" w:lineRule="auto"/>
              <w:rPr>
                <w:rFonts w:ascii="Cambria" w:eastAsia="Calibri" w:hAnsi="Cambria"/>
                <w:b/>
                <w:color w:val="FFFFFF"/>
                <w:szCs w:val="22"/>
                <w:lang w:val="lt-LT" w:eastAsia="lt-LT"/>
              </w:rPr>
            </w:pPr>
            <w:r>
              <w:rPr>
                <w:rFonts w:ascii="Cambria" w:eastAsia="Calibri" w:hAnsi="Cambria"/>
                <w:b/>
                <w:color w:val="FFFFFF"/>
                <w:szCs w:val="22"/>
                <w:lang w:val="lt-LT" w:eastAsia="lt-LT"/>
              </w:rPr>
              <w:t xml:space="preserve">Vertinimo koordinatorė </w:t>
            </w:r>
            <w:r w:rsidRPr="00677F9A">
              <w:rPr>
                <w:rFonts w:ascii="Cambria" w:eastAsia="Calibri" w:hAnsi="Cambria"/>
                <w:b/>
                <w:color w:val="FFFFFF"/>
                <w:szCs w:val="22"/>
                <w:lang w:val="lt-LT" w:eastAsia="lt-LT"/>
              </w:rPr>
              <w:t xml:space="preserve">- </w:t>
            </w:r>
          </w:p>
          <w:p w14:paraId="341572E3" w14:textId="77777777" w:rsidR="00B45946" w:rsidRPr="00677F9A" w:rsidRDefault="00B45946" w:rsidP="0066612B">
            <w:pPr>
              <w:tabs>
                <w:tab w:val="left" w:pos="0"/>
              </w:tabs>
              <w:spacing w:line="276" w:lineRule="auto"/>
              <w:rPr>
                <w:rFonts w:ascii="Cambria" w:eastAsia="Calibri" w:hAnsi="Cambria"/>
                <w:b/>
                <w:i/>
                <w:color w:val="571C1F"/>
                <w:szCs w:val="22"/>
                <w:lang w:val="lt-LT" w:eastAsia="lt-LT"/>
              </w:rPr>
            </w:pPr>
            <w:r>
              <w:rPr>
                <w:rFonts w:ascii="Cambria" w:eastAsia="Calibri" w:hAnsi="Cambria"/>
                <w:b/>
                <w:i/>
                <w:color w:val="FFFFFF"/>
                <w:szCs w:val="22"/>
                <w:lang w:val="lt-LT" w:eastAsia="lt-LT"/>
              </w:rPr>
              <w:t>Ona Charževskytė</w:t>
            </w:r>
          </w:p>
        </w:tc>
      </w:tr>
    </w:tbl>
    <w:p w14:paraId="341572E5" w14:textId="77777777" w:rsidR="00B45946" w:rsidRPr="00677F9A" w:rsidRDefault="00B45946" w:rsidP="00B45946">
      <w:pPr>
        <w:rPr>
          <w:rFonts w:ascii="Calibri" w:eastAsia="Calibri" w:hAnsi="Calibri"/>
          <w:sz w:val="22"/>
          <w:szCs w:val="22"/>
          <w:lang w:val="lt-LT" w:eastAsia="lt-LT"/>
        </w:rPr>
      </w:pPr>
    </w:p>
    <w:p w14:paraId="341572E6" w14:textId="77777777" w:rsidR="00B45946" w:rsidRDefault="00B45946" w:rsidP="00B45946">
      <w:pPr>
        <w:rPr>
          <w:rFonts w:ascii="Calibri" w:eastAsia="Calibri" w:hAnsi="Calibri"/>
          <w:sz w:val="22"/>
          <w:szCs w:val="22"/>
          <w:lang w:val="lt-LT" w:eastAsia="lt-LT"/>
        </w:rPr>
      </w:pPr>
    </w:p>
    <w:p w14:paraId="341572E7" w14:textId="77777777" w:rsidR="00B45946" w:rsidRPr="0060015D" w:rsidRDefault="00B45946" w:rsidP="00B45946">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Išvados parengtos anglų kalba</w:t>
      </w:r>
    </w:p>
    <w:p w14:paraId="341572E8" w14:textId="77777777" w:rsidR="00B45946" w:rsidRPr="0060015D" w:rsidRDefault="00B45946" w:rsidP="00B45946">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Vert</w:t>
      </w:r>
      <w:r>
        <w:rPr>
          <w:rFonts w:asciiTheme="majorHAnsi" w:eastAsia="Calibri" w:hAnsiTheme="majorHAnsi" w:cstheme="minorHAnsi"/>
          <w:color w:val="136C73"/>
          <w:lang w:val="lt-LT"/>
        </w:rPr>
        <w:t>imą į lietuvių kalbą atliko MB „Ad Gloriam“</w:t>
      </w:r>
    </w:p>
    <w:p w14:paraId="341572E9" w14:textId="77777777" w:rsidR="00B45946" w:rsidRPr="0060015D" w:rsidRDefault="00B45946" w:rsidP="00B45946">
      <w:pPr>
        <w:rPr>
          <w:rFonts w:asciiTheme="majorHAnsi" w:eastAsia="Calibri" w:hAnsiTheme="majorHAnsi" w:cstheme="minorHAnsi"/>
          <w:color w:val="136C73"/>
          <w:lang w:val="lt-LT"/>
        </w:rPr>
      </w:pPr>
    </w:p>
    <w:tbl>
      <w:tblPr>
        <w:tblW w:w="0" w:type="auto"/>
        <w:tblLook w:val="01E0" w:firstRow="1" w:lastRow="1" w:firstColumn="1" w:lastColumn="1" w:noHBand="0" w:noVBand="0"/>
      </w:tblPr>
      <w:tblGrid>
        <w:gridCol w:w="460"/>
        <w:gridCol w:w="6848"/>
      </w:tblGrid>
      <w:tr w:rsidR="00B45946" w:rsidRPr="0060015D" w14:paraId="341572EC" w14:textId="77777777" w:rsidTr="0066612B">
        <w:tc>
          <w:tcPr>
            <w:tcW w:w="460" w:type="dxa"/>
            <w:shd w:val="clear" w:color="auto" w:fill="auto"/>
            <w:vAlign w:val="center"/>
          </w:tcPr>
          <w:p w14:paraId="341572EA" w14:textId="77777777" w:rsidR="00B45946" w:rsidRPr="0060015D" w:rsidRDefault="00B45946" w:rsidP="0066612B">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w:t>
            </w:r>
          </w:p>
        </w:tc>
        <w:tc>
          <w:tcPr>
            <w:tcW w:w="6848" w:type="dxa"/>
            <w:shd w:val="clear" w:color="auto" w:fill="auto"/>
          </w:tcPr>
          <w:p w14:paraId="341572EB" w14:textId="77777777" w:rsidR="00B45946" w:rsidRPr="0060015D" w:rsidRDefault="00B45946" w:rsidP="0066612B">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Studijų kokybės vertinimo centras</w:t>
            </w:r>
          </w:p>
        </w:tc>
      </w:tr>
    </w:tbl>
    <w:p w14:paraId="341572ED" w14:textId="77777777" w:rsidR="00B45946" w:rsidRDefault="00B45946" w:rsidP="00B45946">
      <w:pPr>
        <w:rPr>
          <w:caps/>
          <w:lang w:val="lt-LT"/>
        </w:rPr>
      </w:pPr>
    </w:p>
    <w:p w14:paraId="341572EE" w14:textId="77777777" w:rsidR="00B45946" w:rsidRPr="00C5787E" w:rsidRDefault="00B45946" w:rsidP="00B45946">
      <w:pPr>
        <w:rPr>
          <w:caps/>
          <w:lang w:val="lt-LT"/>
        </w:rPr>
      </w:pPr>
    </w:p>
    <w:p w14:paraId="341572EF" w14:textId="77777777" w:rsidR="00B45946" w:rsidRPr="006D1CFD" w:rsidRDefault="00B45946" w:rsidP="00B45946">
      <w:pPr>
        <w:spacing w:line="276" w:lineRule="auto"/>
        <w:jc w:val="center"/>
        <w:rPr>
          <w:rFonts w:ascii="Cambria" w:eastAsia="Calibri" w:hAnsi="Cambria"/>
          <w:color w:val="136C73"/>
          <w:lang w:val="lt-LT"/>
        </w:rPr>
      </w:pPr>
      <w:r w:rsidRPr="006D1CFD">
        <w:rPr>
          <w:rFonts w:ascii="Cambria" w:eastAsia="Calibri" w:hAnsi="Cambria"/>
          <w:color w:val="136C73"/>
          <w:lang w:val="lt-LT"/>
        </w:rPr>
        <w:t>Vilnius</w:t>
      </w:r>
    </w:p>
    <w:p w14:paraId="341572F0" w14:textId="77777777" w:rsidR="00B45946" w:rsidRPr="006D1CFD" w:rsidRDefault="00B45946" w:rsidP="00B45946">
      <w:pPr>
        <w:spacing w:line="276" w:lineRule="auto"/>
        <w:jc w:val="center"/>
        <w:rPr>
          <w:rFonts w:ascii="Cambria" w:eastAsia="Calibri" w:hAnsi="Cambria"/>
          <w:color w:val="136C73"/>
          <w:lang w:val="lt-LT"/>
        </w:rPr>
      </w:pPr>
      <w:r w:rsidRPr="006D1CFD">
        <w:rPr>
          <w:rFonts w:ascii="Cambria" w:eastAsia="Calibri" w:hAnsi="Cambria"/>
          <w:color w:val="136C73"/>
          <w:lang w:val="lt-LT"/>
        </w:rPr>
        <w:t>2021</w:t>
      </w:r>
    </w:p>
    <w:p w14:paraId="341572F1" w14:textId="77777777" w:rsidR="00B45946" w:rsidRPr="0060015D" w:rsidRDefault="00B45946" w:rsidP="00B45946">
      <w:pPr>
        <w:spacing w:after="200" w:line="276" w:lineRule="auto"/>
        <w:jc w:val="center"/>
        <w:rPr>
          <w:rFonts w:asciiTheme="majorHAnsi" w:hAnsiTheme="majorHAnsi"/>
          <w:b/>
          <w:color w:val="136C73"/>
          <w:sz w:val="28"/>
          <w:lang w:val="lt-LT" w:eastAsia="en-GB"/>
        </w:rPr>
      </w:pPr>
      <w:r w:rsidRPr="00677F9A">
        <w:rPr>
          <w:rFonts w:ascii="Cambria" w:eastAsia="Calibri" w:hAnsi="Cambria"/>
          <w:b/>
          <w:color w:val="136C73"/>
          <w:sz w:val="28"/>
          <w:szCs w:val="22"/>
          <w:lang w:val="lt-LT"/>
        </w:rPr>
        <w:lastRenderedPageBreak/>
        <w:t>Studijų krypties duomenys*</w:t>
      </w:r>
    </w:p>
    <w:tbl>
      <w:tblPr>
        <w:tblStyle w:val="TableGrid"/>
        <w:tblpPr w:leftFromText="180" w:rightFromText="180" w:vertAnchor="text" w:horzAnchor="margin" w:tblpX="-318" w:tblpY="82"/>
        <w:tblW w:w="5233" w:type="pct"/>
        <w:tblLayout w:type="fixed"/>
        <w:tblLook w:val="04A0" w:firstRow="1" w:lastRow="0" w:firstColumn="1" w:lastColumn="0" w:noHBand="0" w:noVBand="1"/>
      </w:tblPr>
      <w:tblGrid>
        <w:gridCol w:w="4077"/>
        <w:gridCol w:w="3119"/>
        <w:gridCol w:w="3117"/>
      </w:tblGrid>
      <w:tr w:rsidR="00B45946" w:rsidRPr="0060015D" w14:paraId="341572F5" w14:textId="77777777" w:rsidTr="0066612B">
        <w:trPr>
          <w:trHeight w:val="510"/>
        </w:trPr>
        <w:tc>
          <w:tcPr>
            <w:tcW w:w="1977" w:type="pct"/>
            <w:shd w:val="clear" w:color="136C73" w:fill="EEECE1" w:themeFill="background2"/>
            <w:vAlign w:val="center"/>
          </w:tcPr>
          <w:p w14:paraId="341572F2" w14:textId="77777777" w:rsidR="00B45946" w:rsidRPr="0060015D" w:rsidRDefault="00B45946" w:rsidP="0066612B">
            <w:pPr>
              <w:rPr>
                <w:rFonts w:asciiTheme="majorHAnsi" w:hAnsiTheme="majorHAnsi"/>
                <w:color w:val="136C73"/>
                <w:lang w:val="lt-LT" w:eastAsia="en-GB"/>
              </w:rPr>
            </w:pPr>
            <w:r w:rsidRPr="0060015D">
              <w:rPr>
                <w:rFonts w:asciiTheme="majorHAnsi" w:eastAsia="MS Mincho" w:hAnsiTheme="majorHAnsi"/>
                <w:color w:val="136C73"/>
                <w:lang w:val="lt-LT" w:eastAsia="en-GB"/>
              </w:rPr>
              <w:t>Studijų programos pavadinimas</w:t>
            </w:r>
          </w:p>
        </w:tc>
        <w:tc>
          <w:tcPr>
            <w:tcW w:w="1512" w:type="pct"/>
            <w:shd w:val="clear" w:color="136C73" w:fill="FFFFFF" w:themeFill="background1"/>
            <w:vAlign w:val="center"/>
          </w:tcPr>
          <w:p w14:paraId="341572F3" w14:textId="77777777" w:rsidR="00B45946" w:rsidRPr="003C00DC" w:rsidRDefault="00B45946" w:rsidP="0066612B">
            <w:pPr>
              <w:rPr>
                <w:rFonts w:asciiTheme="majorHAnsi" w:hAnsiTheme="majorHAnsi"/>
                <w:i/>
                <w:lang w:val="lt-LT" w:eastAsia="en-GB"/>
              </w:rPr>
            </w:pPr>
            <w:r>
              <w:rPr>
                <w:rFonts w:asciiTheme="majorHAnsi" w:hAnsiTheme="majorHAnsi"/>
                <w:i/>
                <w:lang w:val="lt-LT" w:eastAsia="en-GB"/>
              </w:rPr>
              <w:t xml:space="preserve">Transporto </w:t>
            </w:r>
            <w:r w:rsidRPr="003C00DC">
              <w:rPr>
                <w:rFonts w:asciiTheme="majorHAnsi" w:hAnsiTheme="majorHAnsi"/>
                <w:i/>
                <w:lang w:val="lt-LT" w:eastAsia="en-GB"/>
              </w:rPr>
              <w:t>inžinerija</w:t>
            </w:r>
          </w:p>
        </w:tc>
        <w:tc>
          <w:tcPr>
            <w:tcW w:w="1511" w:type="pct"/>
            <w:shd w:val="clear" w:color="136C73" w:fill="FFFFFF" w:themeFill="background1"/>
            <w:vAlign w:val="center"/>
          </w:tcPr>
          <w:p w14:paraId="341572F4" w14:textId="77777777" w:rsidR="00B45946" w:rsidRPr="003C00DC" w:rsidRDefault="00B45946" w:rsidP="0066612B">
            <w:pPr>
              <w:rPr>
                <w:rFonts w:asciiTheme="majorHAnsi" w:hAnsiTheme="majorHAnsi"/>
                <w:i/>
                <w:lang w:val="lt-LT" w:eastAsia="en-GB"/>
              </w:rPr>
            </w:pPr>
            <w:r>
              <w:rPr>
                <w:rFonts w:asciiTheme="majorHAnsi" w:hAnsiTheme="majorHAnsi"/>
                <w:i/>
                <w:lang w:val="lt-LT" w:eastAsia="en-GB"/>
              </w:rPr>
              <w:t xml:space="preserve">Transporto </w:t>
            </w:r>
            <w:r w:rsidRPr="003C00DC">
              <w:rPr>
                <w:rFonts w:asciiTheme="majorHAnsi" w:hAnsiTheme="majorHAnsi"/>
                <w:i/>
                <w:lang w:val="lt-LT" w:eastAsia="en-GB"/>
              </w:rPr>
              <w:t xml:space="preserve"> inžinerija</w:t>
            </w:r>
          </w:p>
        </w:tc>
      </w:tr>
      <w:tr w:rsidR="00B45946" w:rsidRPr="0060015D" w14:paraId="341572F9" w14:textId="77777777" w:rsidTr="0066612B">
        <w:trPr>
          <w:trHeight w:val="510"/>
        </w:trPr>
        <w:tc>
          <w:tcPr>
            <w:tcW w:w="1977" w:type="pct"/>
            <w:shd w:val="clear" w:color="auto" w:fill="EEECE1" w:themeFill="background2"/>
            <w:vAlign w:val="center"/>
          </w:tcPr>
          <w:p w14:paraId="341572F6"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Valstybinis kodas</w:t>
            </w:r>
          </w:p>
        </w:tc>
        <w:tc>
          <w:tcPr>
            <w:tcW w:w="1512" w:type="pct"/>
            <w:vAlign w:val="center"/>
          </w:tcPr>
          <w:p w14:paraId="341572F7" w14:textId="77777777" w:rsidR="00B45946" w:rsidRPr="003C00DC" w:rsidRDefault="00B45946" w:rsidP="0066612B">
            <w:pPr>
              <w:rPr>
                <w:rStyle w:val="fontstyle01"/>
                <w:lang w:val="lt-LT"/>
              </w:rPr>
            </w:pPr>
            <w:r w:rsidRPr="006679B0">
              <w:rPr>
                <w:rStyle w:val="fontstyle01"/>
                <w:lang w:val="lt-LT"/>
              </w:rPr>
              <w:t>6121EX051</w:t>
            </w:r>
          </w:p>
        </w:tc>
        <w:tc>
          <w:tcPr>
            <w:tcW w:w="1511" w:type="pct"/>
            <w:vAlign w:val="center"/>
          </w:tcPr>
          <w:p w14:paraId="341572F8" w14:textId="77777777" w:rsidR="00B45946" w:rsidRPr="0060015D" w:rsidRDefault="00B45946" w:rsidP="0066612B">
            <w:pPr>
              <w:rPr>
                <w:lang w:val="lt-LT"/>
              </w:rPr>
            </w:pPr>
            <w:r w:rsidRPr="006679B0">
              <w:rPr>
                <w:lang w:val="lt-LT"/>
              </w:rPr>
              <w:t>6211EX058</w:t>
            </w:r>
          </w:p>
        </w:tc>
      </w:tr>
      <w:tr w:rsidR="00B45946" w:rsidRPr="0060015D" w14:paraId="341572FD" w14:textId="77777777" w:rsidTr="0066612B">
        <w:trPr>
          <w:trHeight w:val="510"/>
        </w:trPr>
        <w:tc>
          <w:tcPr>
            <w:tcW w:w="1977" w:type="pct"/>
            <w:shd w:val="clear" w:color="auto" w:fill="EEECE1" w:themeFill="background2"/>
            <w:vAlign w:val="center"/>
          </w:tcPr>
          <w:p w14:paraId="341572FA"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rūšis</w:t>
            </w:r>
          </w:p>
        </w:tc>
        <w:tc>
          <w:tcPr>
            <w:tcW w:w="1512" w:type="pct"/>
            <w:vAlign w:val="center"/>
          </w:tcPr>
          <w:p w14:paraId="341572FB"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Universitetinės, bakalauro</w:t>
            </w:r>
          </w:p>
        </w:tc>
        <w:tc>
          <w:tcPr>
            <w:tcW w:w="1511" w:type="pct"/>
            <w:vAlign w:val="center"/>
          </w:tcPr>
          <w:p w14:paraId="341572FC"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Universitetinės, magistro</w:t>
            </w:r>
          </w:p>
        </w:tc>
      </w:tr>
      <w:tr w:rsidR="00B45946" w:rsidRPr="0060015D" w14:paraId="34157301" w14:textId="77777777" w:rsidTr="0066612B">
        <w:trPr>
          <w:trHeight w:val="510"/>
        </w:trPr>
        <w:tc>
          <w:tcPr>
            <w:tcW w:w="1977" w:type="pct"/>
            <w:shd w:val="clear" w:color="auto" w:fill="EEECE1" w:themeFill="background2"/>
            <w:vAlign w:val="center"/>
          </w:tcPr>
          <w:p w14:paraId="341572FE"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pakopa</w:t>
            </w:r>
          </w:p>
        </w:tc>
        <w:tc>
          <w:tcPr>
            <w:tcW w:w="1512" w:type="pct"/>
            <w:vAlign w:val="center"/>
          </w:tcPr>
          <w:p w14:paraId="341572FF"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Pirmoji</w:t>
            </w:r>
          </w:p>
        </w:tc>
        <w:tc>
          <w:tcPr>
            <w:tcW w:w="1511" w:type="pct"/>
            <w:vAlign w:val="center"/>
          </w:tcPr>
          <w:p w14:paraId="34157300" w14:textId="77777777" w:rsidR="00B45946" w:rsidRPr="0060015D" w:rsidRDefault="00B45946" w:rsidP="0066612B">
            <w:pPr>
              <w:rPr>
                <w:rFonts w:asciiTheme="majorHAnsi" w:hAnsiTheme="majorHAnsi"/>
                <w:lang w:val="lt-LT" w:eastAsia="en-GB"/>
              </w:rPr>
            </w:pPr>
            <w:r>
              <w:rPr>
                <w:rFonts w:asciiTheme="majorHAnsi" w:hAnsiTheme="majorHAnsi"/>
                <w:lang w:val="lt-LT" w:eastAsia="en-GB"/>
              </w:rPr>
              <w:t>Antroji</w:t>
            </w:r>
          </w:p>
        </w:tc>
      </w:tr>
      <w:tr w:rsidR="00B45946" w:rsidRPr="0060015D" w14:paraId="34157305" w14:textId="77777777" w:rsidTr="0066612B">
        <w:trPr>
          <w:trHeight w:val="510"/>
        </w:trPr>
        <w:tc>
          <w:tcPr>
            <w:tcW w:w="1977" w:type="pct"/>
            <w:shd w:val="clear" w:color="auto" w:fill="EEECE1" w:themeFill="background2"/>
            <w:vAlign w:val="center"/>
          </w:tcPr>
          <w:p w14:paraId="34157302"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forma (trukmė metais)</w:t>
            </w:r>
          </w:p>
        </w:tc>
        <w:tc>
          <w:tcPr>
            <w:tcW w:w="1512" w:type="pct"/>
            <w:vAlign w:val="center"/>
          </w:tcPr>
          <w:p w14:paraId="34157303"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Nuolatinės (4)</w:t>
            </w:r>
            <w:r>
              <w:rPr>
                <w:rFonts w:asciiTheme="majorHAnsi" w:hAnsiTheme="majorHAnsi"/>
                <w:lang w:val="lt-LT" w:eastAsia="en-GB"/>
              </w:rPr>
              <w:t>, ištęstinės (6)</w:t>
            </w:r>
          </w:p>
        </w:tc>
        <w:tc>
          <w:tcPr>
            <w:tcW w:w="1511" w:type="pct"/>
            <w:vAlign w:val="center"/>
          </w:tcPr>
          <w:p w14:paraId="34157304"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Nuolatinės (2)</w:t>
            </w:r>
          </w:p>
        </w:tc>
      </w:tr>
      <w:tr w:rsidR="00B45946" w:rsidRPr="0060015D" w14:paraId="34157309" w14:textId="77777777" w:rsidTr="0066612B">
        <w:trPr>
          <w:trHeight w:val="510"/>
        </w:trPr>
        <w:tc>
          <w:tcPr>
            <w:tcW w:w="1977" w:type="pct"/>
            <w:shd w:val="clear" w:color="auto" w:fill="EEECE1" w:themeFill="background2"/>
            <w:vAlign w:val="center"/>
          </w:tcPr>
          <w:p w14:paraId="34157306"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w:t>
            </w:r>
            <w:r>
              <w:rPr>
                <w:rFonts w:asciiTheme="majorHAnsi" w:eastAsia="MS Mincho" w:hAnsiTheme="majorHAnsi"/>
                <w:color w:val="136C73"/>
                <w:lang w:val="lt-LT" w:eastAsia="en-GB"/>
              </w:rPr>
              <w:t>i</w:t>
            </w:r>
            <w:r w:rsidRPr="0060015D">
              <w:rPr>
                <w:rFonts w:asciiTheme="majorHAnsi" w:eastAsia="MS Mincho" w:hAnsiTheme="majorHAnsi"/>
                <w:color w:val="136C73"/>
                <w:lang w:val="lt-LT" w:eastAsia="en-GB"/>
              </w:rPr>
              <w:t>jų programos apimtis kreditais</w:t>
            </w:r>
          </w:p>
        </w:tc>
        <w:tc>
          <w:tcPr>
            <w:tcW w:w="1512" w:type="pct"/>
            <w:vAlign w:val="center"/>
          </w:tcPr>
          <w:p w14:paraId="34157307" w14:textId="77777777" w:rsidR="00B45946" w:rsidRPr="0060015D" w:rsidRDefault="00B45946" w:rsidP="0066612B">
            <w:pPr>
              <w:rPr>
                <w:rFonts w:asciiTheme="majorHAnsi" w:hAnsiTheme="majorHAnsi"/>
                <w:lang w:val="lt-LT" w:eastAsia="en-GB"/>
              </w:rPr>
            </w:pPr>
            <w:r>
              <w:rPr>
                <w:rFonts w:asciiTheme="majorHAnsi" w:hAnsiTheme="majorHAnsi"/>
                <w:lang w:val="lt-LT" w:eastAsia="en-GB"/>
              </w:rPr>
              <w:t>240</w:t>
            </w:r>
          </w:p>
        </w:tc>
        <w:tc>
          <w:tcPr>
            <w:tcW w:w="1511" w:type="pct"/>
            <w:vAlign w:val="center"/>
          </w:tcPr>
          <w:p w14:paraId="34157308" w14:textId="77777777" w:rsidR="00B45946" w:rsidRPr="0060015D" w:rsidRDefault="00B45946" w:rsidP="0066612B">
            <w:pPr>
              <w:rPr>
                <w:rFonts w:asciiTheme="majorHAnsi" w:hAnsiTheme="majorHAnsi"/>
                <w:lang w:val="lt-LT" w:eastAsia="en-GB"/>
              </w:rPr>
            </w:pPr>
            <w:r>
              <w:rPr>
                <w:rFonts w:asciiTheme="majorHAnsi" w:hAnsiTheme="majorHAnsi"/>
                <w:lang w:val="lt-LT" w:eastAsia="en-GB"/>
              </w:rPr>
              <w:t>120</w:t>
            </w:r>
          </w:p>
        </w:tc>
      </w:tr>
      <w:tr w:rsidR="00B45946" w:rsidRPr="0060015D" w14:paraId="3415730D" w14:textId="77777777" w:rsidTr="0066612B">
        <w:trPr>
          <w:trHeight w:val="510"/>
        </w:trPr>
        <w:tc>
          <w:tcPr>
            <w:tcW w:w="1977" w:type="pct"/>
            <w:shd w:val="clear" w:color="auto" w:fill="EEECE1" w:themeFill="background2"/>
            <w:vAlign w:val="center"/>
          </w:tcPr>
          <w:p w14:paraId="3415730A"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Suteikiamas laipsnis ir (ar) profesinė kvalifikacija</w:t>
            </w:r>
          </w:p>
        </w:tc>
        <w:tc>
          <w:tcPr>
            <w:tcW w:w="1512" w:type="pct"/>
            <w:vAlign w:val="center"/>
          </w:tcPr>
          <w:p w14:paraId="3415730B"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Inžinerijos mokslų bakalauras</w:t>
            </w:r>
          </w:p>
        </w:tc>
        <w:tc>
          <w:tcPr>
            <w:tcW w:w="1511" w:type="pct"/>
            <w:vAlign w:val="center"/>
          </w:tcPr>
          <w:p w14:paraId="3415730C"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Inžinerijos mokslų magistras</w:t>
            </w:r>
          </w:p>
        </w:tc>
      </w:tr>
      <w:tr w:rsidR="00B45946" w:rsidRPr="0060015D" w14:paraId="34157311" w14:textId="77777777" w:rsidTr="0066612B">
        <w:trPr>
          <w:trHeight w:val="510"/>
        </w:trPr>
        <w:tc>
          <w:tcPr>
            <w:tcW w:w="1977" w:type="pct"/>
            <w:shd w:val="clear" w:color="auto" w:fill="EEECE1" w:themeFill="background2"/>
            <w:vAlign w:val="center"/>
          </w:tcPr>
          <w:p w14:paraId="3415730E"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 xml:space="preserve">Studijų vykdymo kalba </w:t>
            </w:r>
          </w:p>
        </w:tc>
        <w:tc>
          <w:tcPr>
            <w:tcW w:w="1512" w:type="pct"/>
            <w:vAlign w:val="center"/>
          </w:tcPr>
          <w:p w14:paraId="3415730F"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lietuvių, anglų</w:t>
            </w:r>
          </w:p>
        </w:tc>
        <w:tc>
          <w:tcPr>
            <w:tcW w:w="1511" w:type="pct"/>
            <w:vAlign w:val="center"/>
          </w:tcPr>
          <w:p w14:paraId="34157310" w14:textId="77777777" w:rsidR="00B45946" w:rsidRPr="0060015D" w:rsidRDefault="00B45946" w:rsidP="0066612B">
            <w:pPr>
              <w:rPr>
                <w:rFonts w:asciiTheme="majorHAnsi" w:hAnsiTheme="majorHAnsi"/>
                <w:lang w:val="lt-LT" w:eastAsia="en-GB"/>
              </w:rPr>
            </w:pPr>
            <w:r w:rsidRPr="003C00DC">
              <w:rPr>
                <w:rFonts w:asciiTheme="majorHAnsi" w:hAnsiTheme="majorHAnsi"/>
                <w:lang w:val="lt-LT" w:eastAsia="en-GB"/>
              </w:rPr>
              <w:t>lietuvių, anglų</w:t>
            </w:r>
          </w:p>
        </w:tc>
      </w:tr>
      <w:tr w:rsidR="00B45946" w:rsidRPr="0060015D" w14:paraId="34157315" w14:textId="77777777" w:rsidTr="0066612B">
        <w:trPr>
          <w:trHeight w:val="510"/>
        </w:trPr>
        <w:tc>
          <w:tcPr>
            <w:tcW w:w="1977" w:type="pct"/>
            <w:shd w:val="clear" w:color="auto" w:fill="EEECE1" w:themeFill="background2"/>
            <w:vAlign w:val="center"/>
          </w:tcPr>
          <w:p w14:paraId="34157312"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Reikalavimai stojantiesiems</w:t>
            </w:r>
          </w:p>
        </w:tc>
        <w:tc>
          <w:tcPr>
            <w:tcW w:w="1512" w:type="pct"/>
            <w:vAlign w:val="center"/>
          </w:tcPr>
          <w:p w14:paraId="34157313" w14:textId="77777777" w:rsidR="00B45946" w:rsidRPr="0060015D" w:rsidRDefault="00B45946" w:rsidP="0066612B">
            <w:pPr>
              <w:rPr>
                <w:rFonts w:asciiTheme="majorHAnsi" w:hAnsiTheme="majorHAnsi"/>
                <w:lang w:val="lt-LT" w:eastAsia="en-GB"/>
              </w:rPr>
            </w:pPr>
            <w:r>
              <w:rPr>
                <w:rFonts w:asciiTheme="majorHAnsi" w:hAnsiTheme="majorHAnsi"/>
                <w:lang w:val="lt-LT" w:eastAsia="en-GB"/>
              </w:rPr>
              <w:t>vidurinis išsilavinimas</w:t>
            </w:r>
          </w:p>
        </w:tc>
        <w:tc>
          <w:tcPr>
            <w:tcW w:w="1511" w:type="pct"/>
            <w:vAlign w:val="center"/>
          </w:tcPr>
          <w:p w14:paraId="34157314" w14:textId="77777777" w:rsidR="00B45946" w:rsidRPr="0060015D" w:rsidRDefault="00B45946" w:rsidP="0066612B">
            <w:pPr>
              <w:rPr>
                <w:rFonts w:asciiTheme="majorHAnsi" w:hAnsiTheme="majorHAnsi"/>
                <w:lang w:val="lt-LT" w:eastAsia="en-GB"/>
              </w:rPr>
            </w:pPr>
            <w:r>
              <w:rPr>
                <w:rFonts w:asciiTheme="majorHAnsi" w:hAnsiTheme="majorHAnsi"/>
                <w:lang w:val="lt-LT" w:eastAsia="en-GB"/>
              </w:rPr>
              <w:t>bakalauro laipsnis</w:t>
            </w:r>
          </w:p>
        </w:tc>
      </w:tr>
      <w:tr w:rsidR="00B45946" w:rsidRPr="0060015D" w14:paraId="34157319" w14:textId="77777777" w:rsidTr="0066612B">
        <w:trPr>
          <w:trHeight w:val="510"/>
        </w:trPr>
        <w:tc>
          <w:tcPr>
            <w:tcW w:w="1977" w:type="pct"/>
            <w:shd w:val="clear" w:color="auto" w:fill="EEECE1" w:themeFill="background2"/>
            <w:vAlign w:val="center"/>
          </w:tcPr>
          <w:p w14:paraId="34157316" w14:textId="77777777" w:rsidR="00B45946" w:rsidRPr="0060015D" w:rsidRDefault="00B45946" w:rsidP="0066612B">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įregistravimo data</w:t>
            </w:r>
          </w:p>
        </w:tc>
        <w:tc>
          <w:tcPr>
            <w:tcW w:w="1512" w:type="pct"/>
            <w:vAlign w:val="center"/>
          </w:tcPr>
          <w:p w14:paraId="34157317" w14:textId="77777777" w:rsidR="00B45946" w:rsidRPr="003C00DC" w:rsidRDefault="00B45946" w:rsidP="0066612B">
            <w:pPr>
              <w:rPr>
                <w:rStyle w:val="fontstyle01"/>
                <w:rFonts w:asciiTheme="majorHAnsi" w:hAnsiTheme="majorHAnsi"/>
                <w:lang w:val="lt-LT"/>
              </w:rPr>
            </w:pPr>
            <w:r w:rsidRPr="003C00DC">
              <w:rPr>
                <w:rStyle w:val="fontstyle01"/>
                <w:rFonts w:asciiTheme="majorHAnsi" w:hAnsiTheme="majorHAnsi"/>
                <w:lang w:val="lt-LT"/>
              </w:rPr>
              <w:t>1997 m. gegužės 19 d.</w:t>
            </w:r>
          </w:p>
        </w:tc>
        <w:tc>
          <w:tcPr>
            <w:tcW w:w="1511" w:type="pct"/>
            <w:vAlign w:val="center"/>
          </w:tcPr>
          <w:p w14:paraId="34157318" w14:textId="77777777" w:rsidR="00B45946" w:rsidRPr="003C00DC" w:rsidRDefault="00B45946" w:rsidP="0066612B">
            <w:pPr>
              <w:rPr>
                <w:rFonts w:asciiTheme="majorHAnsi" w:hAnsiTheme="majorHAnsi"/>
                <w:lang w:val="lt-LT"/>
              </w:rPr>
            </w:pPr>
            <w:r w:rsidRPr="003C00DC">
              <w:rPr>
                <w:rFonts w:asciiTheme="majorHAnsi" w:hAnsiTheme="majorHAnsi"/>
                <w:lang w:val="lt-LT"/>
              </w:rPr>
              <w:t>1997 m. gegužės 19 d.</w:t>
            </w:r>
          </w:p>
        </w:tc>
      </w:tr>
    </w:tbl>
    <w:p w14:paraId="3415731A" w14:textId="77777777" w:rsidR="00B45946" w:rsidRPr="00677F9A" w:rsidRDefault="00B45946" w:rsidP="00B45946">
      <w:pPr>
        <w:spacing w:after="200" w:line="276" w:lineRule="auto"/>
        <w:rPr>
          <w:rFonts w:ascii="Calibri" w:eastAsia="Calibri" w:hAnsi="Calibri"/>
          <w:i/>
          <w:color w:val="136C73"/>
          <w:sz w:val="22"/>
          <w:szCs w:val="22"/>
          <w:lang w:val="lt-LT"/>
        </w:rPr>
      </w:pPr>
    </w:p>
    <w:p w14:paraId="3415731B" w14:textId="77777777" w:rsidR="00B45946" w:rsidRDefault="00B45946" w:rsidP="00B45946">
      <w:pPr>
        <w:spacing w:after="200" w:line="276" w:lineRule="auto"/>
        <w:ind w:left="-425"/>
        <w:rPr>
          <w:rFonts w:ascii="Calibri" w:eastAsia="Calibri" w:hAnsi="Calibri"/>
          <w:i/>
          <w:color w:val="136C73"/>
          <w:sz w:val="22"/>
          <w:szCs w:val="22"/>
          <w:lang w:val="lt-LT"/>
        </w:rPr>
      </w:pPr>
      <w:r w:rsidRPr="00677F9A">
        <w:rPr>
          <w:rFonts w:ascii="Calibri" w:eastAsia="Calibri" w:hAnsi="Calibri"/>
          <w:i/>
          <w:color w:val="136C73"/>
          <w:sz w:val="22"/>
          <w:szCs w:val="22"/>
          <w:lang w:val="lt-LT"/>
        </w:rPr>
        <w:t>* Jeigu studijų kryptyje yra jungtinių, dviejų krypčių ar tarpkryptinių studijų programų, prašoma tai atitinkamai pažymėti.</w:t>
      </w:r>
    </w:p>
    <w:p w14:paraId="3415731D" w14:textId="6AD64FFD" w:rsidR="00B45946" w:rsidRDefault="00B45946" w:rsidP="002750E0">
      <w:pPr>
        <w:spacing w:after="200" w:line="276" w:lineRule="auto"/>
        <w:ind w:left="-425"/>
        <w:rPr>
          <w:rFonts w:ascii="Calibri" w:eastAsia="Calibri" w:hAnsi="Calibri"/>
          <w:sz w:val="22"/>
          <w:szCs w:val="22"/>
          <w:lang w:val="lt-LT"/>
        </w:rPr>
      </w:pPr>
      <w:r w:rsidRPr="000D4EE3">
        <w:rPr>
          <w:rFonts w:ascii="Calibri" w:eastAsia="Calibri" w:hAnsi="Calibri"/>
          <w:sz w:val="22"/>
          <w:szCs w:val="22"/>
          <w:lang w:val="lt-LT"/>
        </w:rPr>
        <w:t>&lt;...&gt;</w:t>
      </w:r>
    </w:p>
    <w:p w14:paraId="3AC78C67" w14:textId="77777777" w:rsidR="002750E0" w:rsidRDefault="002750E0" w:rsidP="002750E0">
      <w:pPr>
        <w:spacing w:after="200" w:line="276" w:lineRule="auto"/>
        <w:ind w:left="-425"/>
        <w:rPr>
          <w:rFonts w:ascii="Calibri" w:eastAsia="Calibri" w:hAnsi="Calibri"/>
          <w:sz w:val="22"/>
          <w:szCs w:val="22"/>
          <w:lang w:val="lt-LT"/>
        </w:rPr>
      </w:pPr>
    </w:p>
    <w:p w14:paraId="1462300D" w14:textId="77777777" w:rsidR="002750E0" w:rsidRDefault="002750E0" w:rsidP="002750E0">
      <w:pPr>
        <w:spacing w:after="200" w:line="276" w:lineRule="auto"/>
        <w:ind w:left="-425"/>
        <w:rPr>
          <w:rFonts w:ascii="Calibri" w:eastAsia="Calibri" w:hAnsi="Calibri"/>
          <w:sz w:val="22"/>
          <w:szCs w:val="22"/>
          <w:lang w:val="lt-LT"/>
        </w:rPr>
      </w:pPr>
    </w:p>
    <w:p w14:paraId="15DA1407" w14:textId="77777777" w:rsidR="002750E0" w:rsidRDefault="002750E0" w:rsidP="002750E0">
      <w:pPr>
        <w:spacing w:after="200" w:line="276" w:lineRule="auto"/>
        <w:ind w:left="-425"/>
        <w:rPr>
          <w:rFonts w:ascii="Calibri" w:eastAsia="Calibri" w:hAnsi="Calibri"/>
          <w:sz w:val="22"/>
          <w:szCs w:val="22"/>
          <w:lang w:val="lt-LT"/>
        </w:rPr>
      </w:pPr>
    </w:p>
    <w:p w14:paraId="6A3F17F3" w14:textId="77777777" w:rsidR="002750E0" w:rsidRDefault="002750E0" w:rsidP="002750E0">
      <w:pPr>
        <w:spacing w:after="200" w:line="276" w:lineRule="auto"/>
        <w:ind w:left="-425"/>
        <w:rPr>
          <w:rFonts w:ascii="Calibri" w:eastAsia="Calibri" w:hAnsi="Calibri"/>
          <w:sz w:val="22"/>
          <w:szCs w:val="22"/>
          <w:lang w:val="lt-LT"/>
        </w:rPr>
      </w:pPr>
    </w:p>
    <w:p w14:paraId="1186A317" w14:textId="77777777" w:rsidR="002750E0" w:rsidRDefault="002750E0" w:rsidP="002750E0">
      <w:pPr>
        <w:spacing w:after="200" w:line="276" w:lineRule="auto"/>
        <w:ind w:left="-425"/>
        <w:rPr>
          <w:rFonts w:ascii="Calibri" w:eastAsia="Calibri" w:hAnsi="Calibri"/>
          <w:sz w:val="22"/>
          <w:szCs w:val="22"/>
          <w:lang w:val="lt-LT"/>
        </w:rPr>
      </w:pPr>
    </w:p>
    <w:p w14:paraId="752B6CB7" w14:textId="77777777" w:rsidR="002750E0" w:rsidRDefault="002750E0" w:rsidP="002750E0">
      <w:pPr>
        <w:spacing w:after="200" w:line="276" w:lineRule="auto"/>
        <w:ind w:left="-425"/>
        <w:rPr>
          <w:rFonts w:ascii="Calibri" w:eastAsia="Calibri" w:hAnsi="Calibri"/>
          <w:sz w:val="22"/>
          <w:szCs w:val="22"/>
          <w:lang w:val="lt-LT"/>
        </w:rPr>
      </w:pPr>
    </w:p>
    <w:p w14:paraId="1DF68DA3" w14:textId="77777777" w:rsidR="002750E0" w:rsidRDefault="002750E0" w:rsidP="002750E0">
      <w:pPr>
        <w:spacing w:after="200" w:line="276" w:lineRule="auto"/>
        <w:ind w:left="-425"/>
        <w:rPr>
          <w:rFonts w:ascii="Calibri" w:eastAsia="Calibri" w:hAnsi="Calibri"/>
          <w:sz w:val="22"/>
          <w:szCs w:val="22"/>
          <w:lang w:val="lt-LT"/>
        </w:rPr>
      </w:pPr>
    </w:p>
    <w:p w14:paraId="16A46216" w14:textId="77777777" w:rsidR="002750E0" w:rsidRDefault="002750E0" w:rsidP="002750E0">
      <w:pPr>
        <w:spacing w:after="200" w:line="276" w:lineRule="auto"/>
        <w:ind w:left="-425"/>
        <w:rPr>
          <w:rFonts w:ascii="Calibri" w:eastAsia="Calibri" w:hAnsi="Calibri"/>
          <w:sz w:val="22"/>
          <w:szCs w:val="22"/>
          <w:lang w:val="lt-LT"/>
        </w:rPr>
      </w:pPr>
    </w:p>
    <w:p w14:paraId="3B539E7D" w14:textId="77777777" w:rsidR="002750E0" w:rsidRDefault="002750E0" w:rsidP="002750E0">
      <w:pPr>
        <w:spacing w:after="200" w:line="276" w:lineRule="auto"/>
        <w:ind w:left="-425"/>
        <w:rPr>
          <w:rFonts w:ascii="Calibri" w:eastAsia="Calibri" w:hAnsi="Calibri"/>
          <w:sz w:val="22"/>
          <w:szCs w:val="22"/>
          <w:lang w:val="lt-LT"/>
        </w:rPr>
      </w:pPr>
    </w:p>
    <w:p w14:paraId="11F3F99B" w14:textId="77777777" w:rsidR="002750E0" w:rsidRPr="002750E0" w:rsidRDefault="002750E0" w:rsidP="002750E0">
      <w:pPr>
        <w:spacing w:after="200" w:line="276" w:lineRule="auto"/>
        <w:ind w:left="-425"/>
        <w:rPr>
          <w:rFonts w:ascii="Calibri" w:eastAsia="Calibri" w:hAnsi="Calibri"/>
          <w:sz w:val="22"/>
          <w:szCs w:val="22"/>
          <w:lang w:val="lt-LT"/>
        </w:rPr>
      </w:pPr>
    </w:p>
    <w:p w14:paraId="3415731E" w14:textId="77777777" w:rsidR="00B45946" w:rsidRPr="00677F9A" w:rsidRDefault="00B45946" w:rsidP="00B45946">
      <w:pPr>
        <w:keepNext/>
        <w:keepLines/>
        <w:tabs>
          <w:tab w:val="left" w:pos="680"/>
        </w:tabs>
        <w:spacing w:before="240" w:after="240"/>
        <w:ind w:left="360"/>
        <w:jc w:val="center"/>
        <w:outlineLvl w:val="1"/>
        <w:rPr>
          <w:rFonts w:ascii="Cambria" w:hAnsi="Cambria"/>
          <w:b/>
          <w:bCs/>
          <w:caps/>
          <w:color w:val="136C73"/>
          <w:sz w:val="36"/>
          <w:szCs w:val="26"/>
          <w:highlight w:val="lightGray"/>
          <w:lang w:val="lt-LT" w:eastAsia="lt-LT"/>
        </w:rPr>
      </w:pPr>
      <w:r w:rsidRPr="00677F9A">
        <w:rPr>
          <w:rFonts w:ascii="Cambria" w:hAnsi="Cambria"/>
          <w:b/>
          <w:bCs/>
          <w:caps/>
          <w:color w:val="136C73"/>
          <w:sz w:val="36"/>
          <w:szCs w:val="26"/>
          <w:lang w:val="lt-LT" w:eastAsia="lt-LT"/>
        </w:rPr>
        <w:lastRenderedPageBreak/>
        <w:t>II. apibendrinamasis ĮVERTINIMAS</w:t>
      </w:r>
    </w:p>
    <w:p w14:paraId="3415731F" w14:textId="7574CF4F" w:rsidR="00B45946" w:rsidRPr="00677F9A" w:rsidRDefault="002750E0" w:rsidP="00B45946">
      <w:pPr>
        <w:jc w:val="both"/>
        <w:rPr>
          <w:rFonts w:ascii="Cambria" w:hAnsi="Cambria"/>
          <w:color w:val="000000"/>
          <w:lang w:val="lt-LT"/>
        </w:rPr>
      </w:pPr>
      <w:r>
        <w:rPr>
          <w:rFonts w:ascii="Cambria" w:hAnsi="Cambria"/>
          <w:lang w:val="lt-LT"/>
        </w:rPr>
        <w:t>Pirmosios pakopos t</w:t>
      </w:r>
      <w:r w:rsidR="00B45946">
        <w:rPr>
          <w:rFonts w:ascii="Cambria" w:hAnsi="Cambria"/>
          <w:lang w:val="lt-LT"/>
        </w:rPr>
        <w:t>ransporto inžinerijos</w:t>
      </w:r>
      <w:r w:rsidR="00B45946" w:rsidRPr="00677F9A">
        <w:rPr>
          <w:rFonts w:ascii="Cambria" w:hAnsi="Cambria"/>
          <w:lang w:val="lt-LT"/>
        </w:rPr>
        <w:t xml:space="preserve"> krypti</w:t>
      </w:r>
      <w:r w:rsidR="00B45946">
        <w:rPr>
          <w:rFonts w:ascii="Cambria" w:hAnsi="Cambria"/>
          <w:lang w:val="lt-LT"/>
        </w:rPr>
        <w:t>es studijos Vilniaus Gedimino technikos universitete</w:t>
      </w:r>
      <w:r w:rsidR="00B45946" w:rsidRPr="00677F9A">
        <w:rPr>
          <w:rFonts w:ascii="Cambria" w:hAnsi="Cambria"/>
          <w:lang w:val="lt-LT"/>
        </w:rPr>
        <w:t xml:space="preserve"> </w:t>
      </w:r>
      <w:r w:rsidR="00B45946" w:rsidRPr="00677F9A">
        <w:rPr>
          <w:rFonts w:ascii="Cambria" w:hAnsi="Cambria"/>
          <w:i/>
          <w:lang w:val="lt-LT"/>
        </w:rPr>
        <w:t xml:space="preserve"> </w:t>
      </w:r>
      <w:r w:rsidR="00B45946" w:rsidRPr="00677F9A">
        <w:rPr>
          <w:rFonts w:ascii="Cambria" w:hAnsi="Cambria"/>
          <w:color w:val="000000"/>
          <w:lang w:val="lt-LT"/>
        </w:rPr>
        <w:t xml:space="preserve">vertinamos </w:t>
      </w:r>
      <w:r w:rsidR="00B45946">
        <w:rPr>
          <w:rFonts w:ascii="Cambria" w:hAnsi="Cambria"/>
          <w:color w:val="000000"/>
          <w:u w:val="single"/>
          <w:lang w:val="lt-LT"/>
        </w:rPr>
        <w:t>teigiamai</w:t>
      </w:r>
      <w:r w:rsidR="00B45946" w:rsidRPr="00677F9A">
        <w:rPr>
          <w:rFonts w:ascii="Cambria" w:hAnsi="Cambria"/>
          <w:color w:val="000000"/>
          <w:u w:val="single"/>
          <w:lang w:val="lt-LT"/>
        </w:rPr>
        <w:t>.</w:t>
      </w:r>
      <w:r w:rsidR="00B45946" w:rsidRPr="00677F9A">
        <w:rPr>
          <w:rFonts w:ascii="Cambria" w:hAnsi="Cambria"/>
          <w:color w:val="000000"/>
          <w:lang w:val="lt-LT"/>
        </w:rPr>
        <w:t xml:space="preserve"> </w:t>
      </w:r>
    </w:p>
    <w:p w14:paraId="34157320" w14:textId="77777777" w:rsidR="00B45946" w:rsidRPr="005C69BB" w:rsidRDefault="00B45946" w:rsidP="00B45946">
      <w:pPr>
        <w:jc w:val="both"/>
        <w:rPr>
          <w:rFonts w:ascii="Cambria" w:hAnsi="Cambria"/>
          <w:color w:val="000000"/>
          <w:sz w:val="10"/>
          <w:szCs w:val="10"/>
          <w:lang w:val="lt-LT"/>
        </w:rPr>
      </w:pPr>
    </w:p>
    <w:p w14:paraId="34157322" w14:textId="57BB5AC4" w:rsidR="00B45946" w:rsidRPr="002750E0" w:rsidRDefault="00B45946" w:rsidP="002750E0">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52"/>
        <w:gridCol w:w="6856"/>
        <w:gridCol w:w="2038"/>
      </w:tblGrid>
      <w:tr w:rsidR="00B45946" w:rsidRPr="00677F9A" w14:paraId="34157328" w14:textId="77777777" w:rsidTr="002750E0">
        <w:trPr>
          <w:trHeight w:val="764"/>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34157323" w14:textId="77777777" w:rsidR="00B45946" w:rsidRPr="00557F46" w:rsidRDefault="00B45946" w:rsidP="00557F46">
            <w:pPr>
              <w:jc w:val="center"/>
              <w:rPr>
                <w:rFonts w:ascii="Cambria" w:eastAsia="Calibri" w:hAnsi="Cambria"/>
                <w:b/>
                <w:color w:val="632423"/>
                <w:lang w:eastAsia="lt-LT"/>
              </w:rPr>
            </w:pPr>
            <w:r w:rsidRPr="00557F46">
              <w:rPr>
                <w:rFonts w:ascii="Cambria" w:eastAsia="Calibri" w:hAnsi="Cambria"/>
                <w:b/>
                <w:color w:val="632423"/>
                <w:lang w:eastAsia="lt-LT"/>
              </w:rPr>
              <w:t>Eil.</w:t>
            </w:r>
          </w:p>
          <w:p w14:paraId="34157324" w14:textId="77777777" w:rsidR="00B45946" w:rsidRPr="00557F46" w:rsidRDefault="00B45946" w:rsidP="00557F46">
            <w:pPr>
              <w:spacing w:line="60" w:lineRule="atLeast"/>
              <w:jc w:val="center"/>
              <w:rPr>
                <w:rFonts w:ascii="Cambria" w:eastAsia="Calibri" w:hAnsi="Cambria"/>
                <w:b/>
                <w:color w:val="632423"/>
                <w:lang w:eastAsia="lt-LT"/>
              </w:rPr>
            </w:pPr>
            <w:r w:rsidRPr="00557F46">
              <w:rPr>
                <w:rFonts w:ascii="Cambria" w:eastAsia="Calibri" w:hAnsi="Cambria"/>
                <w:b/>
                <w:color w:val="632423"/>
                <w:lang w:eastAsia="lt-LT"/>
              </w:rPr>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34157325" w14:textId="77777777" w:rsidR="00B45946" w:rsidRPr="00557F46" w:rsidRDefault="00B45946" w:rsidP="00557F46">
            <w:pPr>
              <w:spacing w:before="100" w:beforeAutospacing="1" w:afterAutospacing="1"/>
              <w:jc w:val="center"/>
              <w:rPr>
                <w:rFonts w:ascii="Cambria" w:eastAsia="Calibri" w:hAnsi="Cambria"/>
                <w:b/>
                <w:color w:val="632423"/>
                <w:lang w:eastAsia="lt-LT"/>
              </w:rPr>
            </w:pPr>
            <w:r w:rsidRPr="00557F46">
              <w:rPr>
                <w:rFonts w:ascii="Cambria" w:eastAsia="Calibri" w:hAnsi="Cambria"/>
                <w:b/>
                <w:color w:val="632423"/>
                <w:lang w:eastAsia="lt-LT"/>
              </w:rPr>
              <w:t>Vertinimo sritis</w:t>
            </w:r>
          </w:p>
          <w:p w14:paraId="34157326" w14:textId="77777777" w:rsidR="00B45946" w:rsidRPr="00557F46" w:rsidRDefault="00B45946" w:rsidP="00557F46">
            <w:pPr>
              <w:spacing w:before="100" w:beforeAutospacing="1" w:afterAutospacing="1" w:line="60" w:lineRule="atLeast"/>
              <w:jc w:val="center"/>
              <w:rPr>
                <w:rFonts w:ascii="Cambria" w:eastAsia="Calibri" w:hAnsi="Cambria"/>
                <w:b/>
                <w:color w:val="632423"/>
                <w:lang w:eastAsia="lt-LT"/>
              </w:rPr>
            </w:pPr>
            <w:r w:rsidRPr="00557F46">
              <w:rPr>
                <w:rFonts w:ascii="Cambria" w:eastAsia="Calibri" w:hAnsi="Cambria"/>
                <w:b/>
                <w:color w:val="632423"/>
                <w:lang w:eastAsia="lt-LT"/>
              </w:rPr>
              <w:t> </w:t>
            </w:r>
          </w:p>
        </w:tc>
        <w:tc>
          <w:tcPr>
            <w:tcW w:w="2041"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34157327" w14:textId="77777777" w:rsidR="00B45946" w:rsidRPr="00557F46" w:rsidRDefault="00B45946" w:rsidP="00557F46">
            <w:pPr>
              <w:spacing w:before="100" w:beforeAutospacing="1" w:afterAutospacing="1"/>
              <w:jc w:val="center"/>
              <w:rPr>
                <w:rFonts w:ascii="Cambria" w:eastAsia="Calibri" w:hAnsi="Cambria"/>
                <w:b/>
                <w:color w:val="632423"/>
                <w:lang w:eastAsia="lt-LT"/>
              </w:rPr>
            </w:pPr>
            <w:r w:rsidRPr="00557F46">
              <w:rPr>
                <w:rFonts w:ascii="Cambria" w:eastAsia="Calibri" w:hAnsi="Cambria"/>
                <w:b/>
                <w:color w:val="632423"/>
                <w:lang w:eastAsia="lt-LT"/>
              </w:rPr>
              <w:t>Srities įvertinimas, balais</w:t>
            </w:r>
          </w:p>
        </w:tc>
      </w:tr>
      <w:tr w:rsidR="00B45946" w:rsidRPr="00677F9A" w14:paraId="3415732C" w14:textId="77777777" w:rsidTr="0066612B">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29"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1.</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415732A"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Studijų tikslai, rezultatai ir turinys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415732B"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30" w14:textId="77777777" w:rsidTr="0066612B">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2D"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2.</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415732E"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Mokslo (meno) ir studijų veiklos sąsajos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415732F"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34" w14:textId="77777777" w:rsidTr="0066612B">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31"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3.</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4157332"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Studentų priėmimas ir parama</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4157333"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38" w14:textId="77777777" w:rsidTr="0066612B">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35"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4.</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4157336"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Studijavimas, studijų pasiekimais ir absolventų užimtumas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4157337"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3C" w14:textId="77777777" w:rsidTr="0066612B">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39"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5.</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415733A"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Dėstytojai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415733B"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40" w14:textId="77777777" w:rsidTr="0066612B">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3D"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6.</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415733E"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Studijų materialieji ištekliai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415733F"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3</w:t>
            </w:r>
          </w:p>
        </w:tc>
      </w:tr>
      <w:tr w:rsidR="00B45946" w:rsidRPr="00677F9A" w14:paraId="34157344" w14:textId="77777777" w:rsidTr="0066612B">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41"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7.</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4157342"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Studijų kokybės valdymas ir viešinimas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4157343"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48" w14:textId="77777777" w:rsidTr="0066612B">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45" w14:textId="77777777" w:rsidR="00B45946" w:rsidRPr="005C69BB" w:rsidRDefault="00B45946" w:rsidP="00557F46">
            <w:pPr>
              <w:jc w:val="center"/>
              <w:rPr>
                <w:rFonts w:ascii="Cambria" w:eastAsia="Calibri" w:hAnsi="Cambria"/>
                <w:lang w:eastAsia="lt-LT"/>
              </w:rP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4157346"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Iš viso: </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4157347"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27</w:t>
            </w:r>
          </w:p>
        </w:tc>
      </w:tr>
    </w:tbl>
    <w:p w14:paraId="34157349" w14:textId="77777777" w:rsidR="00B45946" w:rsidRPr="00677F9A" w:rsidRDefault="00B45946" w:rsidP="005C69BB">
      <w:pPr>
        <w:numPr>
          <w:ilvl w:val="1"/>
          <w:numId w:val="3"/>
        </w:numPr>
        <w:tabs>
          <w:tab w:val="num" w:pos="360"/>
        </w:tabs>
        <w:spacing w:line="276" w:lineRule="auto"/>
        <w:ind w:left="181" w:firstLine="0"/>
        <w:jc w:val="both"/>
        <w:rPr>
          <w:rFonts w:ascii="Cambria" w:hAnsi="Cambria"/>
          <w:sz w:val="20"/>
          <w:szCs w:val="20"/>
          <w:lang w:val="lt-LT"/>
        </w:rPr>
      </w:pPr>
      <w:r w:rsidRPr="00677F9A">
        <w:rPr>
          <w:rFonts w:ascii="Cambria" w:hAnsi="Cambria"/>
          <w:sz w:val="20"/>
          <w:szCs w:val="20"/>
          <w:lang w:val="lt-LT"/>
        </w:rPr>
        <w:t>Nepatenkinamai (sritis netenkina minimalių reikalavimų, yra esminių trūkumų, dėl kurių krypties studijos negali būti vykdomos)</w:t>
      </w:r>
    </w:p>
    <w:p w14:paraId="3415734A" w14:textId="77777777" w:rsidR="00B45946" w:rsidRPr="00677F9A" w:rsidRDefault="00B45946" w:rsidP="00B45946">
      <w:pPr>
        <w:numPr>
          <w:ilvl w:val="1"/>
          <w:numId w:val="3"/>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Patenkinamai (sritis tenkina minimalius reikalavimus, yra esminių trūkumų, kuriuos būtina pašalinti)</w:t>
      </w:r>
    </w:p>
    <w:p w14:paraId="3415734B" w14:textId="77777777" w:rsidR="00B45946" w:rsidRPr="00677F9A" w:rsidRDefault="00B45946" w:rsidP="00B45946">
      <w:pPr>
        <w:numPr>
          <w:ilvl w:val="1"/>
          <w:numId w:val="3"/>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Gerai (sritis plėtojama sistemiškai, be esminių trūkumų)</w:t>
      </w:r>
    </w:p>
    <w:p w14:paraId="3415734C" w14:textId="77777777" w:rsidR="00B45946" w:rsidRPr="00677F9A" w:rsidRDefault="00B45946" w:rsidP="00B45946">
      <w:pPr>
        <w:numPr>
          <w:ilvl w:val="1"/>
          <w:numId w:val="3"/>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Labai gerai (sritis vertinama labai gerai nacionaliniame kontekste ir tarptautinėje erdvėje, be jokių trūkumų)</w:t>
      </w:r>
    </w:p>
    <w:p w14:paraId="3415734F" w14:textId="79AF1056" w:rsidR="00B45946" w:rsidRPr="005C69BB" w:rsidRDefault="00B45946" w:rsidP="005C69BB">
      <w:pPr>
        <w:numPr>
          <w:ilvl w:val="1"/>
          <w:numId w:val="3"/>
        </w:numPr>
        <w:tabs>
          <w:tab w:val="num" w:pos="360"/>
        </w:tabs>
        <w:spacing w:after="120" w:line="276" w:lineRule="auto"/>
        <w:ind w:left="181" w:firstLine="0"/>
        <w:jc w:val="both"/>
        <w:rPr>
          <w:rFonts w:ascii="Cambria" w:hAnsi="Cambria"/>
          <w:sz w:val="20"/>
          <w:szCs w:val="20"/>
          <w:lang w:val="lt-LT"/>
        </w:rPr>
      </w:pPr>
      <w:r w:rsidRPr="00677F9A">
        <w:rPr>
          <w:rFonts w:ascii="Cambria" w:hAnsi="Cambria"/>
          <w:sz w:val="20"/>
          <w:szCs w:val="20"/>
          <w:lang w:val="lt-LT"/>
        </w:rPr>
        <w:t>Išskirtinės kokybės (sritis vertinama išskirtinai gerai nacionaliniame kontekste ir tarptautinėje erdvėje)</w:t>
      </w:r>
    </w:p>
    <w:p w14:paraId="34157350" w14:textId="2490DA5C" w:rsidR="00B45946" w:rsidRPr="00677F9A" w:rsidRDefault="00B45946" w:rsidP="00B45946">
      <w:pPr>
        <w:jc w:val="both"/>
        <w:rPr>
          <w:rFonts w:ascii="Cambria" w:hAnsi="Cambria"/>
          <w:color w:val="000000"/>
          <w:lang w:val="lt-LT"/>
        </w:rPr>
      </w:pPr>
      <w:r>
        <w:rPr>
          <w:rFonts w:ascii="Cambria" w:hAnsi="Cambria"/>
          <w:lang w:val="lt-LT"/>
        </w:rPr>
        <w:t>Antros</w:t>
      </w:r>
      <w:r w:rsidR="002750E0">
        <w:rPr>
          <w:rFonts w:ascii="Cambria" w:hAnsi="Cambria"/>
          <w:lang w:val="lt-LT"/>
        </w:rPr>
        <w:t>ios pakopos t</w:t>
      </w:r>
      <w:r>
        <w:rPr>
          <w:rFonts w:ascii="Cambria" w:hAnsi="Cambria"/>
          <w:lang w:val="lt-LT"/>
        </w:rPr>
        <w:t>ransporto inžinerijos</w:t>
      </w:r>
      <w:r w:rsidRPr="00677F9A">
        <w:rPr>
          <w:rFonts w:ascii="Cambria" w:hAnsi="Cambria"/>
          <w:lang w:val="lt-LT"/>
        </w:rPr>
        <w:t xml:space="preserve"> krypti</w:t>
      </w:r>
      <w:r>
        <w:rPr>
          <w:rFonts w:ascii="Cambria" w:hAnsi="Cambria"/>
          <w:lang w:val="lt-LT"/>
        </w:rPr>
        <w:t>es studijos Vilniaus Gedimino technikos universitete</w:t>
      </w:r>
      <w:r w:rsidRPr="00677F9A">
        <w:rPr>
          <w:rFonts w:ascii="Cambria" w:hAnsi="Cambria"/>
          <w:i/>
          <w:lang w:val="lt-LT"/>
        </w:rPr>
        <w:t xml:space="preserve"> </w:t>
      </w:r>
      <w:r w:rsidRPr="00677F9A">
        <w:rPr>
          <w:rFonts w:ascii="Cambria" w:hAnsi="Cambria"/>
          <w:color w:val="000000"/>
          <w:lang w:val="lt-LT"/>
        </w:rPr>
        <w:t xml:space="preserve">vertinamos </w:t>
      </w:r>
      <w:r>
        <w:rPr>
          <w:rFonts w:ascii="Cambria" w:hAnsi="Cambria"/>
          <w:color w:val="000000"/>
          <w:u w:val="single"/>
          <w:lang w:val="lt-LT"/>
        </w:rPr>
        <w:t>teigiamai</w:t>
      </w:r>
      <w:r w:rsidRPr="00677F9A">
        <w:rPr>
          <w:rFonts w:ascii="Cambria" w:hAnsi="Cambria"/>
          <w:color w:val="000000"/>
          <w:u w:val="single"/>
          <w:lang w:val="lt-LT"/>
        </w:rPr>
        <w:t>.</w:t>
      </w:r>
      <w:r w:rsidRPr="00677F9A">
        <w:rPr>
          <w:rFonts w:ascii="Cambria" w:hAnsi="Cambria"/>
          <w:color w:val="000000"/>
          <w:lang w:val="lt-LT"/>
        </w:rPr>
        <w:t xml:space="preserve"> </w:t>
      </w:r>
    </w:p>
    <w:p w14:paraId="34157351" w14:textId="77777777" w:rsidR="00B45946" w:rsidRPr="005C69BB" w:rsidRDefault="00B45946" w:rsidP="00B45946">
      <w:pPr>
        <w:jc w:val="both"/>
        <w:rPr>
          <w:rFonts w:ascii="Cambria" w:hAnsi="Cambria"/>
          <w:color w:val="000000"/>
          <w:sz w:val="10"/>
          <w:szCs w:val="10"/>
          <w:lang w:val="lt-LT"/>
        </w:rPr>
      </w:pPr>
    </w:p>
    <w:p w14:paraId="34157353" w14:textId="6415C227" w:rsidR="00B45946" w:rsidRPr="002750E0" w:rsidRDefault="00B45946" w:rsidP="002750E0">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52"/>
        <w:gridCol w:w="6856"/>
        <w:gridCol w:w="2038"/>
      </w:tblGrid>
      <w:tr w:rsidR="00B45946" w:rsidRPr="00677F9A" w14:paraId="34157359" w14:textId="77777777" w:rsidTr="005C69BB">
        <w:trPr>
          <w:trHeight w:val="278"/>
        </w:trPr>
        <w:tc>
          <w:tcPr>
            <w:tcW w:w="85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34157354" w14:textId="77777777" w:rsidR="00B45946" w:rsidRPr="00557F46" w:rsidRDefault="00B45946" w:rsidP="00557F46">
            <w:pPr>
              <w:jc w:val="center"/>
              <w:rPr>
                <w:rFonts w:ascii="Cambria" w:eastAsia="Calibri" w:hAnsi="Cambria"/>
                <w:b/>
                <w:color w:val="632423"/>
                <w:lang w:eastAsia="lt-LT"/>
              </w:rPr>
            </w:pPr>
            <w:r w:rsidRPr="00557F46">
              <w:rPr>
                <w:rFonts w:ascii="Cambria" w:eastAsia="Calibri" w:hAnsi="Cambria"/>
                <w:b/>
                <w:color w:val="632423"/>
                <w:lang w:eastAsia="lt-LT"/>
              </w:rPr>
              <w:t>Eil.</w:t>
            </w:r>
          </w:p>
          <w:p w14:paraId="34157355" w14:textId="77777777" w:rsidR="00B45946" w:rsidRPr="00557F46" w:rsidRDefault="00B45946" w:rsidP="00557F46">
            <w:pPr>
              <w:spacing w:line="60" w:lineRule="atLeast"/>
              <w:jc w:val="center"/>
              <w:rPr>
                <w:rFonts w:ascii="Cambria" w:eastAsia="Calibri" w:hAnsi="Cambria"/>
                <w:b/>
                <w:color w:val="632423"/>
                <w:lang w:eastAsia="lt-LT"/>
              </w:rPr>
            </w:pPr>
            <w:r w:rsidRPr="00557F46">
              <w:rPr>
                <w:rFonts w:ascii="Cambria" w:eastAsia="Calibri" w:hAnsi="Cambria"/>
                <w:b/>
                <w:color w:val="632423"/>
                <w:lang w:eastAsia="lt-LT"/>
              </w:rPr>
              <w:t>Nr.</w:t>
            </w:r>
          </w:p>
        </w:tc>
        <w:tc>
          <w:tcPr>
            <w:tcW w:w="685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34157356" w14:textId="77777777" w:rsidR="00B45946" w:rsidRPr="00557F46" w:rsidRDefault="00B45946" w:rsidP="00557F46">
            <w:pPr>
              <w:spacing w:before="100" w:beforeAutospacing="1" w:afterAutospacing="1"/>
              <w:jc w:val="center"/>
              <w:rPr>
                <w:rFonts w:ascii="Cambria" w:eastAsia="Calibri" w:hAnsi="Cambria"/>
                <w:b/>
                <w:color w:val="632423"/>
                <w:lang w:eastAsia="lt-LT"/>
              </w:rPr>
            </w:pPr>
            <w:r w:rsidRPr="00557F46">
              <w:rPr>
                <w:rFonts w:ascii="Cambria" w:eastAsia="Calibri" w:hAnsi="Cambria"/>
                <w:b/>
                <w:color w:val="632423"/>
                <w:lang w:eastAsia="lt-LT"/>
              </w:rPr>
              <w:t>Vertinimo sritis</w:t>
            </w:r>
          </w:p>
          <w:p w14:paraId="34157357" w14:textId="77777777" w:rsidR="00B45946" w:rsidRPr="00557F46" w:rsidRDefault="00B45946" w:rsidP="00557F46">
            <w:pPr>
              <w:spacing w:before="100" w:beforeAutospacing="1" w:afterAutospacing="1" w:line="60" w:lineRule="atLeast"/>
              <w:jc w:val="center"/>
              <w:rPr>
                <w:rFonts w:ascii="Cambria" w:eastAsia="Calibri" w:hAnsi="Cambria"/>
                <w:b/>
                <w:color w:val="632423"/>
                <w:lang w:eastAsia="lt-LT"/>
              </w:rPr>
            </w:pPr>
            <w:r w:rsidRPr="00557F46">
              <w:rPr>
                <w:rFonts w:ascii="Cambria" w:eastAsia="Calibri" w:hAnsi="Cambria"/>
                <w:b/>
                <w:color w:val="632423"/>
                <w:lang w:eastAsia="lt-LT"/>
              </w:rPr>
              <w:t> </w:t>
            </w:r>
          </w:p>
        </w:tc>
        <w:tc>
          <w:tcPr>
            <w:tcW w:w="2038"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34157358" w14:textId="77777777" w:rsidR="00B45946" w:rsidRPr="00557F46" w:rsidRDefault="00B45946" w:rsidP="00557F46">
            <w:pPr>
              <w:spacing w:before="100" w:beforeAutospacing="1" w:afterAutospacing="1"/>
              <w:jc w:val="center"/>
              <w:rPr>
                <w:rFonts w:ascii="Cambria" w:eastAsia="Calibri" w:hAnsi="Cambria"/>
                <w:b/>
                <w:color w:val="632423"/>
                <w:lang w:eastAsia="lt-LT"/>
              </w:rPr>
            </w:pPr>
            <w:r w:rsidRPr="00557F46">
              <w:rPr>
                <w:rFonts w:ascii="Cambria" w:eastAsia="Calibri" w:hAnsi="Cambria"/>
                <w:b/>
                <w:color w:val="632423"/>
                <w:lang w:eastAsia="lt-LT"/>
              </w:rPr>
              <w:t>Srities įvertinimas, balais</w:t>
            </w:r>
          </w:p>
        </w:tc>
      </w:tr>
      <w:tr w:rsidR="00B45946" w:rsidRPr="00677F9A" w14:paraId="3415735D" w14:textId="77777777" w:rsidTr="0066612B">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5A"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1.</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415735B"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Studijų tikslai, rezultatai ir turinys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415735C"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61" w14:textId="77777777" w:rsidTr="0066612B">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5E"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2.</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415735F"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Mokslo (meno) ir studijų veiklos sąsajos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4157360"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65" w14:textId="77777777" w:rsidTr="0066612B">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62"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3.</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4157363"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Studentų priėmimas ir parama</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4157364"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69" w14:textId="77777777" w:rsidTr="0066612B">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66"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4.</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4157367"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Studijavimas, studijų pasiekimais ir absolventų užimtumas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4157368"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6D" w14:textId="77777777" w:rsidTr="0066612B">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6A"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5.</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415736B"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Dėstytojai</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415736C"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71" w14:textId="77777777" w:rsidTr="0066612B">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6E"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6.</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415736F"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Studijų materialieji ištekliai</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4157370"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3</w:t>
            </w:r>
          </w:p>
        </w:tc>
      </w:tr>
      <w:tr w:rsidR="00B45946" w:rsidRPr="00677F9A" w14:paraId="34157375" w14:textId="77777777" w:rsidTr="0066612B">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72"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7.</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4157373"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Studijų kokybės valdymas ir viešinimas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4157374" w14:textId="77777777" w:rsidR="00B45946" w:rsidRPr="005C69BB" w:rsidRDefault="00B45946" w:rsidP="00557F46">
            <w:pPr>
              <w:spacing w:line="60" w:lineRule="atLeast"/>
              <w:jc w:val="center"/>
              <w:rPr>
                <w:rFonts w:ascii="Cambria" w:eastAsia="Calibri" w:hAnsi="Cambria"/>
                <w:lang w:eastAsia="lt-LT"/>
              </w:rPr>
            </w:pPr>
            <w:r w:rsidRPr="005C69BB">
              <w:rPr>
                <w:rFonts w:ascii="Cambria" w:eastAsia="Calibri" w:hAnsi="Cambria"/>
                <w:lang w:eastAsia="lt-LT"/>
              </w:rPr>
              <w:t>4</w:t>
            </w:r>
          </w:p>
        </w:tc>
      </w:tr>
      <w:tr w:rsidR="00B45946" w:rsidRPr="00677F9A" w14:paraId="34157379" w14:textId="77777777" w:rsidTr="0066612B">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4157376" w14:textId="77777777" w:rsidR="00B45946" w:rsidRPr="005C69BB" w:rsidRDefault="00B45946" w:rsidP="00557F46">
            <w:pPr>
              <w:jc w:val="center"/>
              <w:rPr>
                <w:rFonts w:ascii="Cambria" w:eastAsia="Calibri" w:hAnsi="Cambria"/>
                <w:lang w:eastAsia="lt-LT"/>
              </w:rPr>
            </w:pP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4157377" w14:textId="77777777" w:rsidR="00B45946" w:rsidRPr="005C69BB" w:rsidRDefault="00B45946" w:rsidP="005C69BB">
            <w:pPr>
              <w:rPr>
                <w:rFonts w:ascii="Cambria" w:eastAsia="Calibri" w:hAnsi="Cambria"/>
                <w:lang w:eastAsia="lt-LT"/>
              </w:rPr>
            </w:pPr>
            <w:r w:rsidRPr="005C69BB">
              <w:rPr>
                <w:rFonts w:ascii="Cambria" w:eastAsia="Calibri" w:hAnsi="Cambria"/>
                <w:lang w:eastAsia="lt-LT"/>
              </w:rPr>
              <w:t>Iš viso: </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4157378" w14:textId="77777777" w:rsidR="00B45946" w:rsidRPr="005C69BB" w:rsidRDefault="00B45946" w:rsidP="00557F46">
            <w:pPr>
              <w:jc w:val="center"/>
              <w:rPr>
                <w:rFonts w:ascii="Cambria" w:eastAsia="Calibri" w:hAnsi="Cambria"/>
                <w:lang w:eastAsia="lt-LT"/>
              </w:rPr>
            </w:pPr>
            <w:r w:rsidRPr="005C69BB">
              <w:rPr>
                <w:rFonts w:ascii="Cambria" w:eastAsia="Calibri" w:hAnsi="Cambria"/>
                <w:lang w:eastAsia="lt-LT"/>
              </w:rPr>
              <w:t>27</w:t>
            </w:r>
          </w:p>
        </w:tc>
      </w:tr>
    </w:tbl>
    <w:p w14:paraId="5F40E22F" w14:textId="77777777" w:rsidR="005C69BB" w:rsidRDefault="005C69BB" w:rsidP="005C69BB">
      <w:pPr>
        <w:tabs>
          <w:tab w:val="num" w:pos="1080"/>
        </w:tabs>
        <w:spacing w:line="276" w:lineRule="auto"/>
        <w:ind w:left="284"/>
        <w:jc w:val="both"/>
        <w:rPr>
          <w:rFonts w:ascii="Cambria" w:hAnsi="Cambria"/>
          <w:sz w:val="20"/>
          <w:szCs w:val="20"/>
          <w:lang w:val="lt-LT"/>
        </w:rPr>
      </w:pPr>
      <w:r>
        <w:rPr>
          <w:rFonts w:ascii="Cambria" w:hAnsi="Cambria"/>
          <w:sz w:val="20"/>
          <w:szCs w:val="20"/>
          <w:lang w:val="lt-LT"/>
        </w:rPr>
        <w:t>1-</w:t>
      </w:r>
      <w:r w:rsidRPr="00677F9A">
        <w:rPr>
          <w:rFonts w:ascii="Cambria" w:hAnsi="Cambria"/>
          <w:sz w:val="20"/>
          <w:szCs w:val="20"/>
          <w:lang w:val="lt-LT"/>
        </w:rPr>
        <w:t xml:space="preserve">Nepatenkinamai (sritis netenkina minimalių reikalavimų, yra esminių trūkumų, dėl kurių krypties studijos </w:t>
      </w:r>
      <w:r>
        <w:rPr>
          <w:rFonts w:ascii="Cambria" w:hAnsi="Cambria"/>
          <w:sz w:val="20"/>
          <w:szCs w:val="20"/>
          <w:lang w:val="lt-LT"/>
        </w:rPr>
        <w:t>neg</w:t>
      </w:r>
      <w:r w:rsidRPr="00677F9A">
        <w:rPr>
          <w:rFonts w:ascii="Cambria" w:hAnsi="Cambria"/>
          <w:sz w:val="20"/>
          <w:szCs w:val="20"/>
          <w:lang w:val="lt-LT"/>
        </w:rPr>
        <w:t>ali būti vykdomos)</w:t>
      </w:r>
    </w:p>
    <w:p w14:paraId="573206B4" w14:textId="77777777" w:rsidR="005C69BB" w:rsidRDefault="005C69BB" w:rsidP="005C69BB">
      <w:pPr>
        <w:tabs>
          <w:tab w:val="num" w:pos="1080"/>
        </w:tabs>
        <w:spacing w:line="276" w:lineRule="auto"/>
        <w:ind w:left="284"/>
        <w:jc w:val="both"/>
        <w:rPr>
          <w:rFonts w:ascii="Cambria" w:hAnsi="Cambria"/>
          <w:sz w:val="20"/>
          <w:szCs w:val="20"/>
          <w:lang w:val="lt-LT"/>
        </w:rPr>
      </w:pPr>
      <w:r>
        <w:rPr>
          <w:rFonts w:ascii="Cambria" w:hAnsi="Cambria"/>
          <w:sz w:val="20"/>
          <w:szCs w:val="20"/>
          <w:lang w:val="lt-LT"/>
        </w:rPr>
        <w:t>2-</w:t>
      </w:r>
      <w:r w:rsidRPr="00677F9A">
        <w:rPr>
          <w:rFonts w:ascii="Cambria" w:hAnsi="Cambria"/>
          <w:sz w:val="20"/>
          <w:szCs w:val="20"/>
          <w:lang w:val="lt-LT"/>
        </w:rPr>
        <w:t>Patenkinamai (sritis tenkina minimalius reikalavimus, yra esminių trūkumų, kuriuos būtina pašalinti)</w:t>
      </w:r>
    </w:p>
    <w:p w14:paraId="35381B3B" w14:textId="77777777" w:rsidR="005C69BB" w:rsidRDefault="005C69BB" w:rsidP="005C69BB">
      <w:pPr>
        <w:tabs>
          <w:tab w:val="num" w:pos="1080"/>
        </w:tabs>
        <w:spacing w:line="276" w:lineRule="auto"/>
        <w:ind w:left="284"/>
        <w:jc w:val="both"/>
        <w:rPr>
          <w:rFonts w:ascii="Cambria" w:hAnsi="Cambria"/>
          <w:sz w:val="20"/>
          <w:szCs w:val="20"/>
          <w:lang w:val="lt-LT"/>
        </w:rPr>
      </w:pPr>
      <w:r>
        <w:rPr>
          <w:rFonts w:ascii="Cambria" w:hAnsi="Cambria"/>
          <w:sz w:val="20"/>
          <w:szCs w:val="20"/>
          <w:lang w:val="lt-LT"/>
        </w:rPr>
        <w:t>3-</w:t>
      </w:r>
      <w:r w:rsidRPr="00677F9A">
        <w:rPr>
          <w:rFonts w:ascii="Cambria" w:hAnsi="Cambria"/>
          <w:sz w:val="20"/>
          <w:szCs w:val="20"/>
          <w:lang w:val="lt-LT"/>
        </w:rPr>
        <w:t>Gerai (sritis plėtojama sistemiškai, be esminių trūkumų)</w:t>
      </w:r>
    </w:p>
    <w:p w14:paraId="4479793B" w14:textId="77777777" w:rsidR="005C69BB" w:rsidRDefault="005C69BB" w:rsidP="005C69BB">
      <w:pPr>
        <w:tabs>
          <w:tab w:val="num" w:pos="1080"/>
        </w:tabs>
        <w:spacing w:line="276" w:lineRule="auto"/>
        <w:ind w:left="284"/>
        <w:jc w:val="both"/>
        <w:rPr>
          <w:rFonts w:ascii="Cambria" w:hAnsi="Cambria"/>
          <w:sz w:val="20"/>
          <w:szCs w:val="20"/>
          <w:lang w:val="lt-LT"/>
        </w:rPr>
      </w:pPr>
      <w:r>
        <w:rPr>
          <w:rFonts w:ascii="Cambria" w:hAnsi="Cambria"/>
          <w:sz w:val="20"/>
          <w:szCs w:val="20"/>
          <w:lang w:val="lt-LT"/>
        </w:rPr>
        <w:t>4-</w:t>
      </w:r>
      <w:r w:rsidRPr="00677F9A">
        <w:rPr>
          <w:rFonts w:ascii="Cambria" w:hAnsi="Cambria"/>
          <w:sz w:val="20"/>
          <w:szCs w:val="20"/>
          <w:lang w:val="lt-LT"/>
        </w:rPr>
        <w:t>Labai gerai (sritis vertinama labai gerai nacionaliniame kontekste ir tarptautinėje erdvėje, be jokių trūkumų)</w:t>
      </w:r>
    </w:p>
    <w:p w14:paraId="34157380" w14:textId="7880C8D3" w:rsidR="00B45946" w:rsidRPr="005C69BB" w:rsidRDefault="005C69BB" w:rsidP="005C69BB">
      <w:pPr>
        <w:tabs>
          <w:tab w:val="num" w:pos="1080"/>
        </w:tabs>
        <w:spacing w:line="276" w:lineRule="auto"/>
        <w:ind w:left="284"/>
        <w:jc w:val="both"/>
        <w:rPr>
          <w:rFonts w:ascii="Cambria" w:hAnsi="Cambria"/>
          <w:sz w:val="20"/>
          <w:szCs w:val="20"/>
          <w:lang w:val="lt-LT"/>
        </w:rPr>
      </w:pPr>
      <w:r>
        <w:rPr>
          <w:rFonts w:ascii="Cambria" w:hAnsi="Cambria"/>
          <w:sz w:val="20"/>
          <w:szCs w:val="20"/>
          <w:lang w:val="lt-LT"/>
        </w:rPr>
        <w:t>5-</w:t>
      </w:r>
      <w:r w:rsidRPr="00677F9A">
        <w:rPr>
          <w:rFonts w:ascii="Cambria" w:hAnsi="Cambria"/>
          <w:sz w:val="20"/>
          <w:szCs w:val="20"/>
          <w:lang w:val="lt-LT"/>
        </w:rPr>
        <w:t>Išskirtinės kokybės (sritis vertinama išskirtinai gerai nacionaliniame kon</w:t>
      </w:r>
      <w:r>
        <w:rPr>
          <w:rFonts w:ascii="Cambria" w:hAnsi="Cambria"/>
          <w:sz w:val="20"/>
          <w:szCs w:val="20"/>
          <w:lang w:val="lt-LT"/>
        </w:rPr>
        <w:t>tekste ir tarptautinėje erdvėje)</w:t>
      </w:r>
    </w:p>
    <w:p w14:paraId="34157381" w14:textId="77777777" w:rsidR="00B45946" w:rsidRPr="00677F9A" w:rsidRDefault="00B45946" w:rsidP="00B45946">
      <w:pPr>
        <w:keepNext/>
        <w:keepLines/>
        <w:tabs>
          <w:tab w:val="left" w:pos="680"/>
        </w:tabs>
        <w:spacing w:before="240" w:after="240"/>
        <w:ind w:left="360"/>
        <w:jc w:val="center"/>
        <w:outlineLvl w:val="1"/>
        <w:rPr>
          <w:rFonts w:ascii="Cambria" w:hAnsi="Cambria"/>
          <w:b/>
          <w:bCs/>
          <w:caps/>
          <w:color w:val="136C73"/>
          <w:sz w:val="36"/>
          <w:szCs w:val="26"/>
          <w:lang w:val="lt-LT" w:eastAsia="lt-LT"/>
        </w:rPr>
      </w:pPr>
      <w:r>
        <w:rPr>
          <w:rFonts w:ascii="Cambria" w:hAnsi="Cambria"/>
          <w:b/>
          <w:bCs/>
          <w:caps/>
          <w:color w:val="136C73"/>
          <w:sz w:val="36"/>
          <w:szCs w:val="26"/>
          <w:lang w:val="lt-LT" w:eastAsia="lt-LT"/>
        </w:rPr>
        <w:lastRenderedPageBreak/>
        <w:t>iv. IŠSKIRTINĖS KOKYBĖS PAVYZDŽIAI</w:t>
      </w:r>
    </w:p>
    <w:p w14:paraId="34157382" w14:textId="77777777" w:rsidR="00B45946" w:rsidRDefault="00B45946" w:rsidP="002750E0">
      <w:pPr>
        <w:jc w:val="both"/>
        <w:rPr>
          <w:rFonts w:ascii="Cambria" w:eastAsia="Calibri" w:hAnsi="Cambria"/>
          <w:lang w:val="lt-LT" w:eastAsia="lt-LT"/>
        </w:rPr>
      </w:pPr>
      <w:bookmarkStart w:id="6" w:name="_Toc37939116"/>
      <w:r>
        <w:rPr>
          <w:rFonts w:ascii="Cambria" w:eastAsia="Calibri" w:hAnsi="Cambria"/>
          <w:lang w:val="lt-LT" w:eastAsia="lt-LT"/>
        </w:rPr>
        <w:t>Išskirtinės kokybės pavyzdžiu gali būti įvardintas dėstytojų kolektyvo akademinio mobilumo proceso organizavimas. Dėstytojams yra sudarytos galimybės tobulinti anglų kalbos ir profesinius įgūdžius bei atrankos į šiuos tobulinimosi procesus sistema yra skaidri (psl. 49).</w:t>
      </w:r>
    </w:p>
    <w:p w14:paraId="34157384" w14:textId="3F083DE0" w:rsidR="00B45946" w:rsidRDefault="00B45946" w:rsidP="006F10D4">
      <w:pPr>
        <w:jc w:val="both"/>
        <w:rPr>
          <w:rFonts w:ascii="Cambria" w:eastAsia="Calibri" w:hAnsi="Cambria"/>
          <w:lang w:val="lt-LT" w:eastAsia="lt-LT"/>
        </w:rPr>
      </w:pPr>
      <w:r>
        <w:rPr>
          <w:rFonts w:ascii="Cambria" w:eastAsia="Calibri" w:hAnsi="Cambria"/>
          <w:lang w:val="lt-LT" w:eastAsia="lt-LT"/>
        </w:rPr>
        <w:t>Atrankoje pirmą kartą dalyvaujantiems kandidatams pridedami papildomi konkursiniai balai, ko pasekoje stebimas ženklus išvykstančiųjų dėstytojų skaičiaus augimas.</w:t>
      </w:r>
    </w:p>
    <w:p w14:paraId="3A3A8860" w14:textId="77777777" w:rsidR="006F10D4" w:rsidRPr="006F10D4" w:rsidRDefault="006F10D4" w:rsidP="006F10D4">
      <w:pPr>
        <w:jc w:val="both"/>
        <w:rPr>
          <w:rFonts w:ascii="Cambria" w:eastAsia="Calibri" w:hAnsi="Cambria"/>
          <w:lang w:val="lt-LT" w:eastAsia="lt-LT"/>
        </w:rPr>
      </w:pPr>
    </w:p>
    <w:p w14:paraId="34157386" w14:textId="547014FD" w:rsidR="00B45946" w:rsidRPr="00557F46" w:rsidRDefault="00B45946" w:rsidP="00557F46">
      <w:pPr>
        <w:keepNext/>
        <w:keepLines/>
        <w:tabs>
          <w:tab w:val="left" w:pos="680"/>
        </w:tabs>
        <w:spacing w:before="240" w:after="240"/>
        <w:jc w:val="center"/>
        <w:outlineLvl w:val="1"/>
        <w:rPr>
          <w:rFonts w:ascii="Cambria" w:hAnsi="Cambria"/>
          <w:b/>
          <w:bCs/>
          <w:caps/>
          <w:color w:val="136C73"/>
          <w:sz w:val="36"/>
          <w:szCs w:val="26"/>
          <w:lang w:val="lt-LT" w:eastAsia="lt-LT"/>
        </w:rPr>
      </w:pPr>
      <w:r w:rsidRPr="00C72D32">
        <w:rPr>
          <w:rFonts w:ascii="Cambria" w:hAnsi="Cambria"/>
          <w:b/>
          <w:bCs/>
          <w:caps/>
          <w:color w:val="136C73"/>
          <w:sz w:val="36"/>
          <w:szCs w:val="26"/>
          <w:lang w:val="lt-LT" w:eastAsia="lt-LT"/>
        </w:rPr>
        <w:t xml:space="preserve">v. REkomendacijos </w:t>
      </w:r>
      <w:bookmarkEnd w:id="6"/>
    </w:p>
    <w:p w14:paraId="34157388" w14:textId="1D44FB5D" w:rsidR="00B45946" w:rsidRPr="00C77509" w:rsidRDefault="00B45946" w:rsidP="002750E0">
      <w:pPr>
        <w:jc w:val="both"/>
        <w:rPr>
          <w:rFonts w:ascii="Cambria" w:eastAsia="Calibri" w:hAnsi="Cambria"/>
          <w:lang w:val="lt-LT" w:eastAsia="lt-LT"/>
        </w:rPr>
      </w:pPr>
      <w:r w:rsidRPr="00C77509">
        <w:rPr>
          <w:rFonts w:ascii="Cambria" w:eastAsia="Calibri" w:hAnsi="Cambria"/>
          <w:lang w:val="lt-LT" w:eastAsia="lt-LT"/>
        </w:rPr>
        <w:t>1.</w:t>
      </w:r>
      <w:r w:rsidR="002750E0">
        <w:rPr>
          <w:rFonts w:ascii="Cambria" w:eastAsia="Calibri" w:hAnsi="Cambria"/>
          <w:lang w:val="lt-LT" w:eastAsia="lt-LT"/>
        </w:rPr>
        <w:t xml:space="preserve"> </w:t>
      </w:r>
      <w:r w:rsidRPr="00C77509">
        <w:rPr>
          <w:rFonts w:ascii="Cambria" w:eastAsia="Calibri" w:hAnsi="Cambria"/>
          <w:lang w:val="lt-LT" w:eastAsia="lt-LT"/>
        </w:rPr>
        <w:t>Rekomenduojama sukurti stipresnę paramos studentams teikimo ir studentų konsultav</w:t>
      </w:r>
      <w:r>
        <w:rPr>
          <w:rFonts w:ascii="Cambria" w:eastAsia="Calibri" w:hAnsi="Cambria"/>
          <w:lang w:val="lt-LT" w:eastAsia="lt-LT"/>
        </w:rPr>
        <w:t>imo kontrolės sistemą bei veiksmų</w:t>
      </w:r>
      <w:r w:rsidRPr="00C77509">
        <w:rPr>
          <w:rFonts w:ascii="Cambria" w:eastAsia="Calibri" w:hAnsi="Cambria"/>
          <w:lang w:val="lt-LT" w:eastAsia="lt-LT"/>
        </w:rPr>
        <w:t xml:space="preserve"> planą</w:t>
      </w:r>
      <w:r>
        <w:rPr>
          <w:rFonts w:ascii="Cambria" w:eastAsia="Calibri" w:hAnsi="Cambria"/>
          <w:lang w:val="lt-LT" w:eastAsia="lt-LT"/>
        </w:rPr>
        <w:t xml:space="preserve"> tais klausimais, kurių įgyvendinimas</w:t>
      </w:r>
      <w:r w:rsidRPr="00C77509">
        <w:rPr>
          <w:rFonts w:ascii="Cambria" w:eastAsia="Calibri" w:hAnsi="Cambria"/>
          <w:lang w:val="lt-LT" w:eastAsia="lt-LT"/>
        </w:rPr>
        <w:t xml:space="preserve"> nesiekia pageidaujamo lygio.</w:t>
      </w:r>
    </w:p>
    <w:p w14:paraId="7A6BDA33" w14:textId="77777777" w:rsidR="002750E0" w:rsidRDefault="002750E0" w:rsidP="002750E0">
      <w:pPr>
        <w:jc w:val="both"/>
        <w:rPr>
          <w:rFonts w:ascii="Cambria" w:eastAsia="Calibri" w:hAnsi="Cambria"/>
          <w:lang w:val="lt-LT" w:eastAsia="lt-LT"/>
        </w:rPr>
      </w:pPr>
    </w:p>
    <w:p w14:paraId="3415738A" w14:textId="66DCF2E3" w:rsidR="00B45946" w:rsidRPr="00C77509" w:rsidRDefault="00B45946" w:rsidP="002750E0">
      <w:pPr>
        <w:jc w:val="both"/>
        <w:rPr>
          <w:rFonts w:ascii="Cambria" w:eastAsia="Calibri" w:hAnsi="Cambria"/>
          <w:lang w:val="lt-LT" w:eastAsia="lt-LT"/>
        </w:rPr>
      </w:pPr>
      <w:r w:rsidRPr="00C77509">
        <w:rPr>
          <w:rFonts w:ascii="Cambria" w:eastAsia="Calibri" w:hAnsi="Cambria"/>
          <w:lang w:val="lt-LT" w:eastAsia="lt-LT"/>
        </w:rPr>
        <w:t>2.</w:t>
      </w:r>
      <w:r w:rsidR="002750E0">
        <w:rPr>
          <w:rFonts w:ascii="Cambria" w:eastAsia="Calibri" w:hAnsi="Cambria"/>
          <w:lang w:val="lt-LT" w:eastAsia="lt-LT"/>
        </w:rPr>
        <w:t xml:space="preserve"> </w:t>
      </w:r>
      <w:r w:rsidRPr="00C77509">
        <w:rPr>
          <w:rFonts w:ascii="Cambria" w:eastAsia="Calibri" w:hAnsi="Cambria"/>
          <w:lang w:val="lt-LT" w:eastAsia="lt-LT"/>
        </w:rPr>
        <w:t>Rekomenduojama sukurti detalesnę absolventų sekimo sistemą, į kurią įeitų ir mokymosi rezultatų panaudojimo darbe stebėjimas.</w:t>
      </w:r>
    </w:p>
    <w:p w14:paraId="646D1982" w14:textId="77777777" w:rsidR="002750E0" w:rsidRDefault="002750E0" w:rsidP="002750E0">
      <w:pPr>
        <w:jc w:val="both"/>
        <w:rPr>
          <w:rFonts w:ascii="Cambria" w:eastAsia="Calibri" w:hAnsi="Cambria"/>
          <w:lang w:val="lt-LT" w:eastAsia="lt-LT"/>
        </w:rPr>
      </w:pPr>
    </w:p>
    <w:p w14:paraId="3415738C" w14:textId="455EE467" w:rsidR="00B45946" w:rsidRDefault="00B45946" w:rsidP="002750E0">
      <w:pPr>
        <w:jc w:val="both"/>
        <w:rPr>
          <w:rFonts w:ascii="Cambria" w:eastAsia="Calibri" w:hAnsi="Cambria"/>
          <w:bCs/>
          <w:i/>
          <w:szCs w:val="22"/>
          <w:lang w:eastAsia="lt-LT"/>
        </w:rPr>
      </w:pPr>
      <w:r w:rsidRPr="00C77509">
        <w:rPr>
          <w:rFonts w:ascii="Cambria" w:eastAsia="Calibri" w:hAnsi="Cambria"/>
          <w:lang w:val="lt-LT" w:eastAsia="lt-LT"/>
        </w:rPr>
        <w:t xml:space="preserve">3. Rekomenduojama peržiūrėti tyrimų kokybės standartus, įtraukiant tyrimų rezultatų kokybės kriterijus. Tarpdalykiniai tyrimai galėtų padėti </w:t>
      </w:r>
      <w:r>
        <w:rPr>
          <w:rFonts w:ascii="Cambria" w:eastAsia="Calibri" w:hAnsi="Cambria"/>
          <w:lang w:val="lt-LT" w:eastAsia="lt-LT"/>
        </w:rPr>
        <w:t>atlikti palyginamąją tyrimų kokybės analizę</w:t>
      </w:r>
      <w:r w:rsidRPr="00C77509">
        <w:rPr>
          <w:rFonts w:ascii="Cambria" w:eastAsia="Calibri" w:hAnsi="Cambria"/>
          <w:lang w:val="lt-LT" w:eastAsia="lt-LT"/>
        </w:rPr>
        <w:t>, kas stipriai rekomenduojama.</w:t>
      </w:r>
      <w:r w:rsidRPr="00440CF4">
        <w:rPr>
          <w:rFonts w:ascii="Cambria" w:eastAsia="Calibri" w:hAnsi="Cambria"/>
          <w:bCs/>
          <w:i/>
          <w:szCs w:val="22"/>
          <w:lang w:eastAsia="lt-LT"/>
        </w:rPr>
        <w:t xml:space="preserve"> </w:t>
      </w:r>
    </w:p>
    <w:p w14:paraId="0C4F57E4" w14:textId="77777777" w:rsidR="0056778E" w:rsidRPr="002750E0" w:rsidRDefault="0056778E" w:rsidP="002750E0">
      <w:pPr>
        <w:jc w:val="both"/>
        <w:rPr>
          <w:rFonts w:ascii="Cambria" w:eastAsia="Calibri" w:hAnsi="Cambria"/>
          <w:lang w:val="lt-LT" w:eastAsia="lt-LT"/>
        </w:rPr>
      </w:pPr>
    </w:p>
    <w:p w14:paraId="24421814" w14:textId="60B5984B" w:rsidR="006F10D4" w:rsidRPr="0056778E" w:rsidRDefault="0056778E" w:rsidP="0056778E">
      <w:pPr>
        <w:pStyle w:val="ListParagraph"/>
        <w:ind w:left="0"/>
        <w:jc w:val="both"/>
        <w:rPr>
          <w:rFonts w:ascii="Cambria" w:eastAsia="Calibri" w:hAnsi="Cambria"/>
          <w:b/>
          <w:bCs/>
          <w:color w:val="800000"/>
          <w:lang w:val="lt-LT" w:eastAsia="lt-LT"/>
        </w:rPr>
      </w:pPr>
      <w:r>
        <w:rPr>
          <w:rFonts w:ascii="Cambria" w:eastAsia="Calibri" w:hAnsi="Cambria"/>
          <w:lang w:val="lt-LT" w:eastAsia="lt-LT"/>
        </w:rPr>
        <w:t xml:space="preserve">4. </w:t>
      </w:r>
      <w:r w:rsidR="00B45946" w:rsidRPr="0056778E">
        <w:rPr>
          <w:rFonts w:ascii="Cambria" w:eastAsia="Calibri" w:hAnsi="Cambria"/>
          <w:lang w:val="lt-LT" w:eastAsia="lt-LT"/>
        </w:rPr>
        <w:t>Rekomenduojama padėti dėstytojams palengvinti profesinę raidą, reguliariai įgyjant praktinės pramoninės patirties.</w:t>
      </w:r>
      <w:bookmarkStart w:id="7" w:name="_Toc37939117"/>
    </w:p>
    <w:p w14:paraId="7EDC49AC" w14:textId="77777777" w:rsidR="006F10D4" w:rsidRDefault="006F10D4" w:rsidP="0056778E">
      <w:pPr>
        <w:pStyle w:val="ListParagraph"/>
        <w:ind w:left="0" w:hanging="76"/>
        <w:jc w:val="both"/>
        <w:rPr>
          <w:rFonts w:ascii="Cambria" w:hAnsi="Cambria"/>
          <w:b/>
          <w:bCs/>
          <w:caps/>
          <w:color w:val="136C73"/>
          <w:sz w:val="36"/>
          <w:szCs w:val="26"/>
          <w:lang w:val="lt-LT" w:eastAsia="lt-LT"/>
        </w:rPr>
      </w:pPr>
    </w:p>
    <w:p w14:paraId="34157390" w14:textId="16A26DF7" w:rsidR="00B45946" w:rsidRPr="006F10D4" w:rsidRDefault="00B45946" w:rsidP="006F10D4">
      <w:pPr>
        <w:pStyle w:val="ListParagraph"/>
        <w:spacing w:before="240" w:after="240"/>
        <w:ind w:left="0"/>
        <w:jc w:val="center"/>
        <w:rPr>
          <w:rFonts w:ascii="Cambria" w:eastAsia="Calibri" w:hAnsi="Cambria"/>
          <w:lang w:val="lt-LT" w:eastAsia="lt-LT"/>
        </w:rPr>
      </w:pPr>
      <w:r w:rsidRPr="006F10D4">
        <w:rPr>
          <w:rFonts w:ascii="Cambria" w:hAnsi="Cambria"/>
          <w:b/>
          <w:bCs/>
          <w:caps/>
          <w:color w:val="136C73"/>
          <w:sz w:val="36"/>
          <w:szCs w:val="26"/>
          <w:lang w:val="lt-LT" w:eastAsia="lt-LT"/>
        </w:rPr>
        <w:t>VI. S</w:t>
      </w:r>
      <w:bookmarkEnd w:id="7"/>
      <w:r w:rsidRPr="006F10D4">
        <w:rPr>
          <w:rFonts w:ascii="Cambria" w:hAnsi="Cambria"/>
          <w:b/>
          <w:bCs/>
          <w:caps/>
          <w:color w:val="136C73"/>
          <w:sz w:val="36"/>
          <w:szCs w:val="26"/>
          <w:lang w:val="lt-LT" w:eastAsia="lt-LT"/>
        </w:rPr>
        <w:t>antrauka</w:t>
      </w:r>
    </w:p>
    <w:p w14:paraId="34157391" w14:textId="77777777" w:rsidR="00B45946" w:rsidRPr="002750E0" w:rsidRDefault="00B45946" w:rsidP="006F10D4">
      <w:pPr>
        <w:spacing w:before="240" w:after="240"/>
        <w:jc w:val="both"/>
        <w:rPr>
          <w:rFonts w:ascii="Cambria" w:eastAsia="Calibri" w:hAnsi="Cambria"/>
          <w:lang w:val="lt-LT" w:eastAsia="lt-LT"/>
        </w:rPr>
      </w:pPr>
      <w:r w:rsidRPr="002750E0">
        <w:rPr>
          <w:rFonts w:ascii="Cambria" w:eastAsia="Calibri" w:hAnsi="Cambria"/>
          <w:lang w:val="lt-LT" w:eastAsia="lt-LT"/>
        </w:rPr>
        <w:t xml:space="preserve">Pagrindiniai teigiami ir neigiami kiekvienos Vilniaus Gedimino technikos universiteto (VGTU) studijų krypties vertinimo srities aspektai. </w:t>
      </w:r>
    </w:p>
    <w:p w14:paraId="34157392" w14:textId="77777777" w:rsidR="00B45946" w:rsidRPr="002750E0" w:rsidRDefault="00B45946" w:rsidP="002750E0">
      <w:pPr>
        <w:tabs>
          <w:tab w:val="left" w:pos="414"/>
        </w:tabs>
        <w:jc w:val="both"/>
        <w:rPr>
          <w:rFonts w:ascii="Cambria" w:eastAsia="Calibri" w:hAnsi="Cambria"/>
          <w:lang w:val="lt-LT" w:eastAsia="lt-LT"/>
        </w:rPr>
      </w:pPr>
      <w:r w:rsidRPr="002750E0">
        <w:rPr>
          <w:rFonts w:ascii="Cambria" w:eastAsia="Calibri" w:hAnsi="Cambria"/>
          <w:lang w:val="lt-LT" w:eastAsia="lt-LT"/>
        </w:rPr>
        <w:t>Iš esmės transporto inžinerijos bakalauro ir magistro studijų programų tikslai ir rezultatai atitinka visuomenės ir darbo rinkos poreikius. Be to, jie atitinka VGTU tikslus ir misiją.</w:t>
      </w:r>
    </w:p>
    <w:p w14:paraId="34157393" w14:textId="77777777" w:rsidR="00B45946" w:rsidRPr="002750E0" w:rsidRDefault="00B45946" w:rsidP="002750E0">
      <w:pPr>
        <w:jc w:val="both"/>
        <w:rPr>
          <w:rFonts w:ascii="Cambria" w:eastAsia="Calibri" w:hAnsi="Cambria"/>
          <w:lang w:val="lt-LT" w:eastAsia="lt-LT"/>
        </w:rPr>
      </w:pPr>
    </w:p>
    <w:p w14:paraId="34157394" w14:textId="77777777" w:rsidR="00B45946" w:rsidRPr="002750E0" w:rsidRDefault="00B45946" w:rsidP="002750E0">
      <w:pPr>
        <w:tabs>
          <w:tab w:val="left" w:pos="549"/>
        </w:tabs>
        <w:jc w:val="both"/>
        <w:rPr>
          <w:rFonts w:ascii="Cambria" w:eastAsia="Calibri" w:hAnsi="Cambria"/>
          <w:lang w:val="lt-LT" w:eastAsia="lt-LT"/>
        </w:rPr>
      </w:pPr>
      <w:r w:rsidRPr="002750E0">
        <w:rPr>
          <w:rFonts w:ascii="Cambria" w:eastAsia="Calibri" w:hAnsi="Cambria"/>
          <w:lang w:val="lt-LT" w:eastAsia="lt-LT"/>
        </w:rPr>
        <w:t>Paskutinio išorinio vertinimo pateiktos rekomendacijos dėl tikslų, rezultatų ir turinio buvo įvykdytos. Mokymosi rezultatai buvo įtraukti į dalykų aprašus. Aiškiai pagrįsti ir susieti dalyko mokymosi rezultatų ir programos ryšiai. Buvo patikimai paaiškintas skirtumas tarp transporto inžinerijos, dėstomos ir nagrinėjamos fakultete, ir į transportą orientuotų programų kituose fakultetuose (aplinkos inžinerijos, statybos fakultetai).</w:t>
      </w:r>
    </w:p>
    <w:p w14:paraId="34157395" w14:textId="77777777" w:rsidR="00B45946" w:rsidRPr="002750E0" w:rsidRDefault="00B45946" w:rsidP="002750E0">
      <w:pPr>
        <w:tabs>
          <w:tab w:val="left" w:pos="549"/>
        </w:tabs>
        <w:jc w:val="both"/>
        <w:rPr>
          <w:rFonts w:ascii="Cambria" w:eastAsia="Calibri" w:hAnsi="Cambria"/>
          <w:lang w:val="lt-LT" w:eastAsia="lt-LT"/>
        </w:rPr>
      </w:pPr>
    </w:p>
    <w:p w14:paraId="34157396" w14:textId="77777777" w:rsidR="00B45946" w:rsidRPr="002750E0" w:rsidRDefault="00B45946" w:rsidP="002750E0">
      <w:pPr>
        <w:tabs>
          <w:tab w:val="left" w:pos="549"/>
        </w:tabs>
        <w:jc w:val="both"/>
        <w:rPr>
          <w:rFonts w:ascii="Cambria" w:eastAsia="Calibri" w:hAnsi="Cambria"/>
          <w:lang w:val="lt-LT" w:eastAsia="lt-LT"/>
        </w:rPr>
      </w:pPr>
      <w:r w:rsidRPr="002750E0">
        <w:rPr>
          <w:rFonts w:ascii="Cambria" w:eastAsia="Calibri" w:hAnsi="Cambria"/>
          <w:lang w:val="lt-LT" w:eastAsia="lt-LT"/>
        </w:rPr>
        <w:t xml:space="preserve">Transporto inžinerijos bakalauro ir magistro studijų programos užtikrina nuoseklų studentų kompetencijų vystymą. Išlyginamosios studijos suteikia galimybę studentams įvykdyti programos reikalavimus ir sumažinti išbrauktųjų iš studentų sąrašų skaičių. </w:t>
      </w:r>
    </w:p>
    <w:p w14:paraId="34157397" w14:textId="77777777" w:rsidR="00B45946" w:rsidRPr="002750E0" w:rsidRDefault="00B45946" w:rsidP="002750E0">
      <w:pPr>
        <w:jc w:val="both"/>
        <w:rPr>
          <w:rFonts w:ascii="Cambria" w:eastAsia="Calibri" w:hAnsi="Cambria"/>
          <w:lang w:val="lt-LT" w:eastAsia="lt-LT"/>
        </w:rPr>
      </w:pPr>
      <w:r w:rsidRPr="002750E0">
        <w:rPr>
          <w:rFonts w:ascii="Cambria" w:eastAsia="Calibri" w:hAnsi="Cambria"/>
          <w:lang w:val="lt-LT" w:eastAsia="lt-LT"/>
        </w:rPr>
        <w:t>Kadangi išbrauktųjų iš studentų sąrašų pirmosios pakopos studijose skaičius tebėra didelis, ekspertai siūlo tobulinti konsultavimo paslaugas.</w:t>
      </w:r>
    </w:p>
    <w:p w14:paraId="34157398" w14:textId="77777777" w:rsidR="00B45946" w:rsidRPr="002750E0" w:rsidRDefault="00B45946" w:rsidP="002750E0">
      <w:pPr>
        <w:jc w:val="both"/>
        <w:rPr>
          <w:rFonts w:ascii="Cambria" w:eastAsia="Calibri" w:hAnsi="Cambria"/>
          <w:lang w:val="lt-LT" w:eastAsia="lt-LT"/>
        </w:rPr>
      </w:pPr>
    </w:p>
    <w:p w14:paraId="34157399" w14:textId="77777777" w:rsidR="00B45946" w:rsidRPr="002750E0" w:rsidRDefault="00B45946" w:rsidP="002750E0">
      <w:pPr>
        <w:tabs>
          <w:tab w:val="left" w:pos="549"/>
        </w:tabs>
        <w:jc w:val="both"/>
        <w:rPr>
          <w:rFonts w:ascii="Cambria" w:eastAsia="Calibri" w:hAnsi="Cambria"/>
          <w:lang w:val="lt-LT" w:eastAsia="lt-LT"/>
        </w:rPr>
      </w:pPr>
      <w:r w:rsidRPr="002750E0">
        <w:rPr>
          <w:rFonts w:ascii="Cambria" w:eastAsia="Calibri" w:hAnsi="Cambria"/>
          <w:lang w:val="lt-LT" w:eastAsia="lt-LT"/>
        </w:rPr>
        <w:t>Kadangi daugumos programų atveju pastebimi klasikiniai mokymosi rezultatai, rekomenduojama peržiūrėti šiuos rezultatus, atnaujinant juos pagal naujausius pasiekimus.</w:t>
      </w:r>
    </w:p>
    <w:p w14:paraId="3415739A" w14:textId="77777777" w:rsidR="00B45946" w:rsidRPr="002750E0" w:rsidRDefault="00B45946" w:rsidP="002750E0">
      <w:pPr>
        <w:tabs>
          <w:tab w:val="left" w:pos="549"/>
        </w:tabs>
        <w:jc w:val="both"/>
        <w:rPr>
          <w:rFonts w:ascii="Cambria" w:eastAsia="Calibri" w:hAnsi="Cambria"/>
          <w:lang w:val="lt-LT" w:eastAsia="lt-LT"/>
        </w:rPr>
      </w:pPr>
      <w:r w:rsidRPr="002750E0">
        <w:rPr>
          <w:rFonts w:ascii="Cambria" w:eastAsia="Calibri" w:hAnsi="Cambria"/>
          <w:lang w:val="lt-LT" w:eastAsia="lt-LT"/>
        </w:rPr>
        <w:lastRenderedPageBreak/>
        <w:t>Baigiamieji bakalauro ir magistro darbai iš esmės yra geros kokybės, tačiau kadangi yra keletas išimčių, reiktų imtis papildomų priemonių tolygesnei kokybei užtikinti, ypač kalbant apie baigiamuosius magistro darbus.</w:t>
      </w:r>
    </w:p>
    <w:p w14:paraId="3415739B" w14:textId="77777777" w:rsidR="00B45946" w:rsidRPr="002750E0" w:rsidRDefault="00B45946" w:rsidP="002750E0">
      <w:pPr>
        <w:jc w:val="both"/>
        <w:rPr>
          <w:rFonts w:ascii="Cambria" w:eastAsia="Calibri" w:hAnsi="Cambria"/>
          <w:lang w:val="lt-LT" w:eastAsia="lt-LT"/>
        </w:rPr>
      </w:pPr>
      <w:r w:rsidRPr="002750E0">
        <w:rPr>
          <w:rFonts w:ascii="Cambria" w:eastAsia="Calibri" w:hAnsi="Cambria"/>
          <w:lang w:val="lt-LT" w:eastAsia="lt-LT"/>
        </w:rPr>
        <w:t>Nors fakultete aiškiai pabrėžiama mokslinių tyrimų ir kritinio mąstymo svarba, tačiau šis aspektas pirmoje studijų pakopoje nepastebimas. Tiksliau, reiktų vykdyti projektus, apjungiančius daugelį dalykų.</w:t>
      </w:r>
    </w:p>
    <w:p w14:paraId="3415739C" w14:textId="77777777" w:rsidR="00B45946" w:rsidRPr="002750E0" w:rsidRDefault="00B45946" w:rsidP="002750E0">
      <w:pPr>
        <w:jc w:val="both"/>
        <w:rPr>
          <w:rFonts w:ascii="Cambria" w:eastAsia="Calibri" w:hAnsi="Cambria"/>
          <w:lang w:val="lt-LT" w:eastAsia="lt-LT"/>
        </w:rPr>
      </w:pPr>
    </w:p>
    <w:p w14:paraId="3415739D" w14:textId="77777777" w:rsidR="00B45946" w:rsidRPr="002750E0" w:rsidRDefault="00B45946" w:rsidP="002750E0">
      <w:pPr>
        <w:jc w:val="both"/>
        <w:rPr>
          <w:rFonts w:ascii="Cambria" w:eastAsia="Calibri" w:hAnsi="Cambria"/>
          <w:lang w:val="lt-LT" w:eastAsia="lt-LT"/>
        </w:rPr>
      </w:pPr>
      <w:r w:rsidRPr="002750E0">
        <w:rPr>
          <w:rFonts w:ascii="Cambria" w:eastAsia="Calibri" w:hAnsi="Cambria"/>
          <w:lang w:val="lt-LT" w:eastAsia="lt-LT"/>
        </w:rPr>
        <w:t>Organizuojant mokslines konferencijas viduje, studentai pristato savo darbus, paprastai antros pakopos. Atrodo, kad tai labai veiksminga praktika, galinti padėti padidinti mokslinius tyrimus atliekančių ir konferencijose dalyvaujančių studentų skaičių. Padėtų, jeigu būtų gautas ir studentų tiriamosiose veiklose (stažuotės, įsitraukimas į projektus ir pan.) dalyvavimo finansavimas.</w:t>
      </w:r>
    </w:p>
    <w:p w14:paraId="3415739E" w14:textId="77777777" w:rsidR="00B45946" w:rsidRPr="002750E0" w:rsidRDefault="00B45946" w:rsidP="002750E0">
      <w:pPr>
        <w:jc w:val="both"/>
        <w:rPr>
          <w:rFonts w:ascii="Cambria" w:eastAsia="Calibri" w:hAnsi="Cambria"/>
          <w:lang w:val="lt-LT" w:eastAsia="lt-LT"/>
        </w:rPr>
      </w:pPr>
    </w:p>
    <w:p w14:paraId="3415739F" w14:textId="77777777" w:rsidR="00B45946" w:rsidRPr="002750E0" w:rsidRDefault="00B45946" w:rsidP="002750E0">
      <w:pPr>
        <w:jc w:val="both"/>
        <w:rPr>
          <w:rFonts w:ascii="Cambria" w:eastAsia="Calibri" w:hAnsi="Cambria"/>
          <w:lang w:val="lt-LT" w:eastAsia="lt-LT"/>
        </w:rPr>
      </w:pPr>
      <w:r w:rsidRPr="002750E0">
        <w:rPr>
          <w:rFonts w:ascii="Cambria" w:eastAsia="Calibri" w:hAnsi="Cambria"/>
          <w:lang w:val="lt-LT" w:eastAsia="lt-LT"/>
        </w:rPr>
        <w:t xml:space="preserve">Fakulteto darbuotojai aktyviai dalyvauja ERASMUS programose ir reguliariai lankosi užsienio universitetuose. Be to, jie dalyvauja ES tiriamuosiuose projektuose, o partneriai kviečiami skaityti kviestinių paskaitų. Vis dėlto, dėstyti bei atlikti tyrimus reiktų kviesti dar daugiau užsienio dėstytojų ir mokslininkų. </w:t>
      </w:r>
    </w:p>
    <w:p w14:paraId="341573A0" w14:textId="77777777" w:rsidR="00B45946" w:rsidRPr="00BA7CDA" w:rsidRDefault="00B45946" w:rsidP="002750E0">
      <w:pPr>
        <w:jc w:val="both"/>
        <w:rPr>
          <w:rFonts w:ascii="Cambria" w:eastAsia="Calibri" w:hAnsi="Cambria"/>
          <w:i/>
          <w:lang w:val="lt-LT" w:eastAsia="lt-LT"/>
        </w:rPr>
      </w:pPr>
    </w:p>
    <w:p w14:paraId="341573A1" w14:textId="77777777" w:rsidR="00B45946" w:rsidRPr="00C5787E" w:rsidRDefault="00B45946" w:rsidP="002750E0">
      <w:pPr>
        <w:jc w:val="center"/>
        <w:rPr>
          <w:lang w:val="lt-LT"/>
        </w:rPr>
      </w:pPr>
      <w:r>
        <w:rPr>
          <w:lang w:val="lt-LT"/>
        </w:rPr>
        <w:t>________</w:t>
      </w:r>
      <w:r w:rsidRPr="00C5787E">
        <w:rPr>
          <w:lang w:val="lt-LT"/>
        </w:rPr>
        <w:t>_______</w:t>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t>_____________</w:t>
      </w:r>
    </w:p>
    <w:p w14:paraId="341573A2" w14:textId="77777777" w:rsidR="00B45946" w:rsidRPr="0042467A" w:rsidRDefault="00B45946" w:rsidP="002750E0">
      <w:pPr>
        <w:pStyle w:val="BodyText2"/>
        <w:spacing w:after="0" w:line="240" w:lineRule="auto"/>
        <w:jc w:val="both"/>
        <w:rPr>
          <w:sz w:val="18"/>
          <w:lang w:val="lt-LT"/>
        </w:rPr>
      </w:pPr>
    </w:p>
    <w:p w14:paraId="341573A3" w14:textId="77777777" w:rsidR="00B45946" w:rsidRDefault="00B45946" w:rsidP="002750E0">
      <w:pPr>
        <w:pStyle w:val="BodyText2"/>
        <w:spacing w:after="0" w:line="240" w:lineRule="auto"/>
        <w:jc w:val="both"/>
        <w:rPr>
          <w:lang w:val="lt-LT"/>
        </w:rPr>
      </w:pPr>
    </w:p>
    <w:p w14:paraId="341573A4" w14:textId="77777777" w:rsidR="00B45946" w:rsidRPr="00C5787E" w:rsidRDefault="00B45946" w:rsidP="002750E0">
      <w:pPr>
        <w:pStyle w:val="BodyText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341573A5" w14:textId="77777777" w:rsidR="00B45946" w:rsidRPr="00C5787E" w:rsidRDefault="00B45946" w:rsidP="002750E0">
      <w:pPr>
        <w:pStyle w:val="BodyText2"/>
        <w:spacing w:after="0" w:line="240" w:lineRule="auto"/>
        <w:jc w:val="both"/>
        <w:rPr>
          <w:lang w:val="lt-LT"/>
        </w:rPr>
      </w:pPr>
    </w:p>
    <w:p w14:paraId="341573A6" w14:textId="77777777" w:rsidR="00B45946" w:rsidRDefault="00B45946" w:rsidP="002750E0">
      <w:pPr>
        <w:pStyle w:val="BodyText2"/>
        <w:spacing w:line="240" w:lineRule="auto"/>
        <w:ind w:left="3888" w:firstLine="1296"/>
        <w:jc w:val="both"/>
        <w:rPr>
          <w:lang w:val="lt-LT"/>
        </w:rPr>
      </w:pPr>
      <w:r w:rsidRPr="00C5787E">
        <w:rPr>
          <w:lang w:val="lt-LT"/>
        </w:rPr>
        <w:t>Vertėjos rekvizitai (vardas, pavardė, parašas)</w:t>
      </w:r>
    </w:p>
    <w:p w14:paraId="341573A7" w14:textId="77777777" w:rsidR="003A04DD" w:rsidRDefault="003A04DD" w:rsidP="002750E0">
      <w:pPr>
        <w:jc w:val="both"/>
      </w:pPr>
    </w:p>
    <w:sectPr w:rsidR="003A04D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1" w15:restartNumberingAfterBreak="0">
    <w:nsid w:val="2C253530"/>
    <w:multiLevelType w:val="hybridMultilevel"/>
    <w:tmpl w:val="262E3262"/>
    <w:lvl w:ilvl="0" w:tplc="0427000F">
      <w:start w:val="4"/>
      <w:numFmt w:val="decimal"/>
      <w:lvlText w:val="%1."/>
      <w:lvlJc w:val="left"/>
      <w:pPr>
        <w:ind w:left="72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46"/>
    <w:rsid w:val="001C139E"/>
    <w:rsid w:val="002750E0"/>
    <w:rsid w:val="00387B16"/>
    <w:rsid w:val="003A04DD"/>
    <w:rsid w:val="003C59BA"/>
    <w:rsid w:val="003F0CF9"/>
    <w:rsid w:val="00414C76"/>
    <w:rsid w:val="00443970"/>
    <w:rsid w:val="00557F46"/>
    <w:rsid w:val="00561DB2"/>
    <w:rsid w:val="0056778E"/>
    <w:rsid w:val="005C69BB"/>
    <w:rsid w:val="006C19C6"/>
    <w:rsid w:val="006F10D4"/>
    <w:rsid w:val="00703450"/>
    <w:rsid w:val="00863B63"/>
    <w:rsid w:val="00894D10"/>
    <w:rsid w:val="008D632E"/>
    <w:rsid w:val="009157DF"/>
    <w:rsid w:val="00B45946"/>
    <w:rsid w:val="00C22F12"/>
    <w:rsid w:val="00D37895"/>
    <w:rsid w:val="00D4008E"/>
    <w:rsid w:val="00D877E4"/>
    <w:rsid w:val="00DB6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71F9"/>
  <w15:docId w15:val="{CE603DDE-EADD-4463-9152-12DE867A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94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autoRedefine/>
    <w:uiPriority w:val="9"/>
    <w:qFormat/>
    <w:rsid w:val="00387B16"/>
    <w:pPr>
      <w:keepNext/>
      <w:keepLines/>
      <w:spacing w:before="480" w:after="120" w:line="360" w:lineRule="auto"/>
      <w:jc w:val="center"/>
      <w:outlineLvl w:val="0"/>
    </w:pPr>
    <w:rPr>
      <w:rFonts w:ascii="Calibri" w:eastAsia="Calibri" w:hAnsi="Calibri" w:cs="Calibri"/>
      <w:b/>
      <w:color w:val="136C73"/>
      <w:sz w:val="28"/>
      <w:szCs w:val="48"/>
      <w:lang w:eastAsia="lt-LT"/>
    </w:rPr>
  </w:style>
  <w:style w:type="paragraph" w:styleId="Heading2">
    <w:name w:val="heading 2"/>
    <w:basedOn w:val="Normal"/>
    <w:next w:val="Normal"/>
    <w:link w:val="Heading2Char"/>
    <w:autoRedefine/>
    <w:uiPriority w:val="9"/>
    <w:unhideWhenUsed/>
    <w:qFormat/>
    <w:rsid w:val="00D37895"/>
    <w:pPr>
      <w:keepNext/>
      <w:keepLines/>
      <w:spacing w:before="360" w:after="80" w:line="360" w:lineRule="auto"/>
      <w:jc w:val="center"/>
      <w:outlineLvl w:val="1"/>
    </w:pPr>
    <w:rPr>
      <w:rFonts w:eastAsia="Calibri" w:cs="Calibri"/>
      <w:b/>
      <w:color w:val="136C73"/>
      <w:szCs w:val="36"/>
      <w:lang w:eastAsia="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16"/>
    <w:rPr>
      <w:rFonts w:ascii="Calibri" w:eastAsia="Calibri" w:hAnsi="Calibri" w:cs="Calibri"/>
      <w:b/>
      <w:color w:val="136C73"/>
      <w:sz w:val="28"/>
      <w:szCs w:val="48"/>
      <w:lang w:eastAsia="lt-LT"/>
    </w:rPr>
  </w:style>
  <w:style w:type="character" w:customStyle="1" w:styleId="Heading2Char">
    <w:name w:val="Heading 2 Char"/>
    <w:basedOn w:val="DefaultParagraphFont"/>
    <w:link w:val="Heading2"/>
    <w:uiPriority w:val="9"/>
    <w:rsid w:val="00D37895"/>
    <w:rPr>
      <w:rFonts w:eastAsia="Calibri" w:cs="Calibri"/>
      <w:b/>
      <w:color w:val="136C73"/>
      <w:sz w:val="24"/>
      <w:szCs w:val="36"/>
      <w:lang w:val="en-GB" w:eastAsia="de-DE" w:bidi="he-IL"/>
    </w:rPr>
  </w:style>
  <w:style w:type="paragraph" w:styleId="NoSpacing">
    <w:name w:val="No Spacing"/>
    <w:uiPriority w:val="1"/>
    <w:qFormat/>
    <w:rsid w:val="00B45946"/>
    <w:pPr>
      <w:spacing w:after="0" w:line="240" w:lineRule="auto"/>
    </w:pPr>
    <w:rPr>
      <w:rFonts w:ascii="Times New Roman" w:eastAsia="Calibri" w:hAnsi="Times New Roman" w:cs="Times New Roman"/>
      <w:sz w:val="24"/>
    </w:rPr>
  </w:style>
  <w:style w:type="paragraph" w:styleId="BodyText2">
    <w:name w:val="Body Text 2"/>
    <w:basedOn w:val="Normal"/>
    <w:link w:val="BodyText2Char"/>
    <w:rsid w:val="00B45946"/>
    <w:pPr>
      <w:spacing w:after="120" w:line="480" w:lineRule="auto"/>
    </w:pPr>
  </w:style>
  <w:style w:type="character" w:customStyle="1" w:styleId="BodyText2Char">
    <w:name w:val="Body Text 2 Char"/>
    <w:basedOn w:val="DefaultParagraphFont"/>
    <w:link w:val="BodyText2"/>
    <w:rsid w:val="00B45946"/>
    <w:rPr>
      <w:rFonts w:ascii="Times New Roman" w:eastAsia="Times New Roman" w:hAnsi="Times New Roman" w:cs="Times New Roman"/>
      <w:sz w:val="24"/>
      <w:szCs w:val="24"/>
      <w:lang w:val="en-GB"/>
    </w:rPr>
  </w:style>
  <w:style w:type="character" w:customStyle="1" w:styleId="fontstyle01">
    <w:name w:val="fontstyle01"/>
    <w:rsid w:val="00B45946"/>
    <w:rPr>
      <w:rFonts w:ascii="Times-Roman" w:hAnsi="Times-Roman" w:hint="default"/>
      <w:b w:val="0"/>
      <w:bCs w:val="0"/>
      <w:i w:val="0"/>
      <w:iCs w:val="0"/>
      <w:color w:val="000000"/>
      <w:sz w:val="24"/>
      <w:szCs w:val="24"/>
    </w:rPr>
  </w:style>
  <w:style w:type="paragraph" w:styleId="Footer">
    <w:name w:val="footer"/>
    <w:basedOn w:val="Normal"/>
    <w:link w:val="FooterChar"/>
    <w:uiPriority w:val="99"/>
    <w:unhideWhenUsed/>
    <w:rsid w:val="00B45946"/>
    <w:pPr>
      <w:tabs>
        <w:tab w:val="center" w:pos="4819"/>
        <w:tab w:val="right" w:pos="9638"/>
      </w:tabs>
    </w:pPr>
    <w:rPr>
      <w:rFonts w:asciiTheme="minorHAnsi" w:eastAsiaTheme="minorHAnsi" w:hAnsiTheme="minorHAnsi" w:cstheme="minorBidi"/>
      <w:sz w:val="22"/>
      <w:szCs w:val="22"/>
      <w:lang w:val="lt-LT"/>
    </w:rPr>
  </w:style>
  <w:style w:type="character" w:customStyle="1" w:styleId="FooterChar">
    <w:name w:val="Footer Char"/>
    <w:basedOn w:val="DefaultParagraphFont"/>
    <w:link w:val="Footer"/>
    <w:uiPriority w:val="99"/>
    <w:rsid w:val="00B45946"/>
  </w:style>
  <w:style w:type="table" w:styleId="TableGrid">
    <w:name w:val="Table Grid"/>
    <w:basedOn w:val="TableNormal"/>
    <w:uiPriority w:val="59"/>
    <w:rsid w:val="00B45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946"/>
    <w:rPr>
      <w:rFonts w:ascii="Tahoma" w:hAnsi="Tahoma" w:cs="Tahoma"/>
      <w:sz w:val="16"/>
      <w:szCs w:val="16"/>
    </w:rPr>
  </w:style>
  <w:style w:type="character" w:customStyle="1" w:styleId="BalloonTextChar">
    <w:name w:val="Balloon Text Char"/>
    <w:basedOn w:val="DefaultParagraphFont"/>
    <w:link w:val="BalloonText"/>
    <w:uiPriority w:val="99"/>
    <w:semiHidden/>
    <w:rsid w:val="00B45946"/>
    <w:rPr>
      <w:rFonts w:ascii="Tahoma" w:eastAsia="Times New Roman" w:hAnsi="Tahoma" w:cs="Tahoma"/>
      <w:sz w:val="16"/>
      <w:szCs w:val="16"/>
      <w:lang w:val="en-GB"/>
    </w:rPr>
  </w:style>
  <w:style w:type="paragraph" w:styleId="CommentText">
    <w:name w:val="annotation text"/>
    <w:basedOn w:val="Normal"/>
    <w:link w:val="CommentTextChar"/>
    <w:uiPriority w:val="99"/>
    <w:semiHidden/>
    <w:unhideWhenUsed/>
    <w:rsid w:val="005C69BB"/>
    <w:rPr>
      <w:sz w:val="20"/>
      <w:szCs w:val="20"/>
    </w:rPr>
  </w:style>
  <w:style w:type="character" w:customStyle="1" w:styleId="CommentTextChar">
    <w:name w:val="Comment Text Char"/>
    <w:basedOn w:val="DefaultParagraphFont"/>
    <w:link w:val="CommentText"/>
    <w:uiPriority w:val="99"/>
    <w:semiHidden/>
    <w:rsid w:val="005C69BB"/>
    <w:rPr>
      <w:rFonts w:ascii="Times New Roman" w:eastAsia="Times New Roman" w:hAnsi="Times New Roman" w:cs="Times New Roman"/>
      <w:sz w:val="20"/>
      <w:szCs w:val="20"/>
      <w:lang w:val="en-GB"/>
    </w:rPr>
  </w:style>
  <w:style w:type="character" w:styleId="CommentReference">
    <w:name w:val="annotation reference"/>
    <w:uiPriority w:val="99"/>
    <w:semiHidden/>
    <w:unhideWhenUsed/>
    <w:rsid w:val="005C69BB"/>
    <w:rPr>
      <w:sz w:val="16"/>
      <w:szCs w:val="16"/>
    </w:rPr>
  </w:style>
  <w:style w:type="paragraph" w:styleId="ListParagraph">
    <w:name w:val="List Paragraph"/>
    <w:basedOn w:val="Normal"/>
    <w:uiPriority w:val="34"/>
    <w:qFormat/>
    <w:rsid w:val="006F1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E4BA-D646-43B0-8576-D890797B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11049</Words>
  <Characters>6298</Characters>
  <Application>Microsoft Office Word</Application>
  <DocSecurity>0</DocSecurity>
  <Lines>52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Charževskytė</dc:creator>
  <cp:lastModifiedBy>Giedrutė Mikaločienė</cp:lastModifiedBy>
  <cp:revision>2</cp:revision>
  <dcterms:created xsi:type="dcterms:W3CDTF">2021-04-27T05:04:00Z</dcterms:created>
  <dcterms:modified xsi:type="dcterms:W3CDTF">2021-04-27T05:04:00Z</dcterms:modified>
</cp:coreProperties>
</file>